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Pr>
          <w:sz w:val="20"/>
        </w:rPr>
      </w:pPr>
      <w:r>
        <w:rPr>
          <w:position w:val="0"/>
          <w:sz w:val="20"/>
        </w:rPr>
        <w:pict>
          <v:shape style="width:487.55pt;height:23.55pt;mso-position-horizontal-relative:char;mso-position-vertical-relative:line" type="#_x0000_t202" filled="true" fillcolor="#e4e4e4" stroked="true" strokeweight=".71997pt" strokecolor="#000000">
            <w10:anchorlock/>
            <v:textbox inset="0,0,0,0">
              <w:txbxContent>
                <w:p>
                  <w:pPr>
                    <w:spacing w:before="12"/>
                    <w:ind w:left="701" w:right="0" w:firstLine="0"/>
                    <w:jc w:val="left"/>
                    <w:rPr>
                      <w:sz w:val="36"/>
                    </w:rPr>
                  </w:pPr>
                  <w:r>
                    <w:rPr>
                      <w:sz w:val="36"/>
                    </w:rPr>
                    <w:t>AFTALE OM TEKNISK RÅDGIVNING OG BISTAND</w:t>
                  </w:r>
                </w:p>
              </w:txbxContent>
            </v:textbox>
            <v:fill type="solid"/>
            <v:stroke dashstyle="solid"/>
          </v:shape>
        </w:pict>
      </w:r>
      <w:r>
        <w:rPr>
          <w:position w:val="0"/>
          <w:sz w:val="20"/>
        </w:rPr>
      </w:r>
    </w:p>
    <w:p>
      <w:pPr>
        <w:pStyle w:val="BodyText"/>
        <w:spacing w:before="2"/>
        <w:rPr>
          <w:sz w:val="10"/>
        </w:rPr>
      </w:pPr>
    </w:p>
    <w:p>
      <w:pPr>
        <w:pStyle w:val="Heading1"/>
        <w:spacing w:before="89"/>
        <w:ind w:left="1507"/>
      </w:pPr>
      <w:r>
        <w:rPr/>
        <w:t>Master til Totalrådgivningsaftale redigeret 25 august 2017</w:t>
      </w:r>
    </w:p>
    <w:p>
      <w:pPr>
        <w:pStyle w:val="BodyText"/>
        <w:spacing w:before="2"/>
        <w:rPr>
          <w:b/>
          <w:sz w:val="41"/>
        </w:rPr>
      </w:pPr>
    </w:p>
    <w:p>
      <w:pPr>
        <w:pStyle w:val="Heading2"/>
        <w:numPr>
          <w:ilvl w:val="0"/>
          <w:numId w:val="1"/>
        </w:numPr>
        <w:tabs>
          <w:tab w:pos="893" w:val="left" w:leader="none"/>
          <w:tab w:pos="894" w:val="left" w:leader="none"/>
        </w:tabs>
        <w:spacing w:line="240" w:lineRule="auto" w:before="1" w:after="0"/>
        <w:ind w:left="893" w:right="0" w:hanging="721"/>
        <w:jc w:val="left"/>
      </w:pPr>
      <w:r>
        <w:rPr/>
        <w:t>Parterne</w:t>
      </w:r>
    </w:p>
    <w:p>
      <w:pPr>
        <w:pStyle w:val="ListParagraph"/>
        <w:numPr>
          <w:ilvl w:val="1"/>
          <w:numId w:val="1"/>
        </w:numPr>
        <w:tabs>
          <w:tab w:pos="893" w:val="left" w:leader="none"/>
          <w:tab w:pos="894" w:val="left" w:leader="none"/>
        </w:tabs>
        <w:spacing w:line="240" w:lineRule="auto" w:before="0" w:after="0"/>
        <w:ind w:left="893" w:right="0" w:hanging="721"/>
        <w:jc w:val="left"/>
        <w:rPr>
          <w:sz w:val="24"/>
        </w:rPr>
      </w:pPr>
      <w:r>
        <w:rPr>
          <w:sz w:val="24"/>
        </w:rPr>
        <w:t>Undertegnede</w:t>
      </w:r>
    </w:p>
    <w:p>
      <w:pPr>
        <w:pStyle w:val="BodyText"/>
        <w:spacing w:before="11"/>
        <w:rPr>
          <w:sz w:val="23"/>
        </w:rPr>
      </w:pPr>
    </w:p>
    <w:p>
      <w:pPr>
        <w:pStyle w:val="BodyText"/>
        <w:ind w:left="893" w:right="5990"/>
      </w:pPr>
      <w:r>
        <w:rPr/>
        <w:t>Esbjerg Kommune, Ejendomme Frodesgade 30</w:t>
      </w:r>
    </w:p>
    <w:p>
      <w:pPr>
        <w:pStyle w:val="BodyText"/>
        <w:ind w:left="893"/>
      </w:pPr>
      <w:r>
        <w:rPr/>
        <w:t>6701 Esbjerg</w:t>
      </w:r>
    </w:p>
    <w:p>
      <w:pPr>
        <w:pStyle w:val="BodyText"/>
        <w:ind w:left="893"/>
      </w:pPr>
      <w:r>
        <w:rPr/>
        <w:t>CVR.nr. 29189803</w:t>
      </w:r>
    </w:p>
    <w:p>
      <w:pPr>
        <w:pStyle w:val="BodyText"/>
        <w:spacing w:before="1"/>
      </w:pPr>
    </w:p>
    <w:p>
      <w:pPr>
        <w:pStyle w:val="BodyText"/>
        <w:ind w:left="893"/>
      </w:pPr>
      <w:r>
        <w:rPr/>
        <w:t>i det følgende kaldet klienten,</w:t>
      </w:r>
    </w:p>
    <w:p>
      <w:pPr>
        <w:pStyle w:val="ListParagraph"/>
        <w:numPr>
          <w:ilvl w:val="1"/>
          <w:numId w:val="1"/>
        </w:numPr>
        <w:tabs>
          <w:tab w:pos="893" w:val="left" w:leader="none"/>
          <w:tab w:pos="894" w:val="left" w:leader="none"/>
        </w:tabs>
        <w:spacing w:line="550" w:lineRule="atLeast" w:before="2" w:after="0"/>
        <w:ind w:left="893" w:right="7086" w:hanging="721"/>
        <w:jc w:val="left"/>
        <w:rPr>
          <w:sz w:val="24"/>
        </w:rPr>
      </w:pPr>
      <w:r>
        <w:rPr>
          <w:sz w:val="24"/>
        </w:rPr>
        <w:t>og medundertegnede</w:t>
      </w:r>
      <w:r>
        <w:rPr>
          <w:color w:val="FF0000"/>
          <w:sz w:val="24"/>
        </w:rPr>
        <w:t> Firma</w:t>
      </w:r>
    </w:p>
    <w:p>
      <w:pPr>
        <w:pStyle w:val="BodyText"/>
        <w:spacing w:before="2"/>
        <w:ind w:left="893" w:right="7750"/>
      </w:pPr>
      <w:r>
        <w:rPr>
          <w:color w:val="FF0000"/>
        </w:rPr>
        <w:t>Adresse. Postnr. Og by CVR.nr.</w:t>
      </w:r>
    </w:p>
    <w:p>
      <w:pPr>
        <w:pStyle w:val="BodyText"/>
        <w:ind w:left="893"/>
      </w:pPr>
      <w:r>
        <w:rPr/>
        <w:t>i det følgende kaldet totalrådgiveren,</w:t>
      </w:r>
    </w:p>
    <w:p>
      <w:pPr>
        <w:pStyle w:val="BodyText"/>
      </w:pPr>
    </w:p>
    <w:p>
      <w:pPr>
        <w:pStyle w:val="BodyText"/>
        <w:ind w:left="893"/>
      </w:pPr>
      <w:r>
        <w:rPr/>
        <w:t>har indgået nedenstående aftale om totalrådgivning:</w:t>
      </w:r>
    </w:p>
    <w:p>
      <w:pPr>
        <w:pStyle w:val="BodyText"/>
        <w:rPr>
          <w:sz w:val="26"/>
        </w:rPr>
      </w:pPr>
    </w:p>
    <w:p>
      <w:pPr>
        <w:pStyle w:val="BodyText"/>
        <w:rPr>
          <w:sz w:val="26"/>
        </w:rPr>
      </w:pPr>
    </w:p>
    <w:p>
      <w:pPr>
        <w:pStyle w:val="Heading2"/>
        <w:numPr>
          <w:ilvl w:val="0"/>
          <w:numId w:val="1"/>
        </w:numPr>
        <w:tabs>
          <w:tab w:pos="893" w:val="left" w:leader="none"/>
          <w:tab w:pos="894" w:val="left" w:leader="none"/>
        </w:tabs>
        <w:spacing w:line="240" w:lineRule="auto" w:before="231" w:after="0"/>
        <w:ind w:left="893" w:right="0" w:hanging="721"/>
        <w:jc w:val="left"/>
      </w:pPr>
      <w:r>
        <w:rPr/>
        <w:t>Opgaven</w:t>
      </w:r>
    </w:p>
    <w:p>
      <w:pPr>
        <w:pStyle w:val="ListParagraph"/>
        <w:numPr>
          <w:ilvl w:val="1"/>
          <w:numId w:val="2"/>
        </w:numPr>
        <w:tabs>
          <w:tab w:pos="893" w:val="left" w:leader="none"/>
          <w:tab w:pos="894" w:val="left" w:leader="none"/>
        </w:tabs>
        <w:spacing w:line="240" w:lineRule="auto" w:before="0" w:after="0"/>
        <w:ind w:left="893" w:right="0" w:hanging="721"/>
        <w:jc w:val="left"/>
        <w:rPr>
          <w:sz w:val="24"/>
        </w:rPr>
      </w:pPr>
      <w:r>
        <w:rPr>
          <w:sz w:val="24"/>
        </w:rPr>
        <w:t>Opgaven omfatter teknisk rådgivning og bistand</w:t>
      </w:r>
      <w:r>
        <w:rPr>
          <w:spacing w:val="-5"/>
          <w:sz w:val="24"/>
        </w:rPr>
        <w:t> </w:t>
      </w:r>
      <w:r>
        <w:rPr>
          <w:sz w:val="24"/>
        </w:rPr>
        <w:t>vedrørende:</w:t>
      </w:r>
    </w:p>
    <w:p>
      <w:pPr>
        <w:pStyle w:val="BodyText"/>
        <w:spacing w:before="11"/>
        <w:rPr>
          <w:sz w:val="23"/>
        </w:rPr>
      </w:pPr>
    </w:p>
    <w:p>
      <w:pPr>
        <w:pStyle w:val="BodyText"/>
        <w:ind w:left="893"/>
      </w:pPr>
      <w:r>
        <w:rPr>
          <w:color w:val="FF0000"/>
        </w:rPr>
        <w:t>Det er selve opgaven, der beskrives her (ikke de konkrete ydelser.)</w:t>
      </w:r>
    </w:p>
    <w:p>
      <w:pPr>
        <w:pStyle w:val="BodyText"/>
        <w:ind w:left="881" w:right="685"/>
      </w:pPr>
      <w:r>
        <w:rPr>
          <w:color w:val="FF0000"/>
        </w:rPr>
        <w:t>Anfør byggeiets navn, adresse og opgavens karakter, herunder entrepriseform, samt om derer tale om renovering, ombygning, tilbygning, nybyggeri.</w:t>
      </w:r>
    </w:p>
    <w:p>
      <w:pPr>
        <w:pStyle w:val="BodyText"/>
      </w:pPr>
    </w:p>
    <w:p>
      <w:pPr>
        <w:pStyle w:val="BodyText"/>
        <w:ind w:left="881" w:right="406"/>
      </w:pPr>
      <w:r>
        <w:rPr/>
        <w:t>Formålet med denne totalrådgiveraftale er at sikre, at byggeriet gennemføres til den aftalte tid med den aftalte kvallitet og totaløkonomi.</w:t>
      </w:r>
    </w:p>
    <w:p>
      <w:pPr>
        <w:pStyle w:val="BodyText"/>
        <w:spacing w:before="10"/>
        <w:rPr>
          <w:sz w:val="23"/>
        </w:rPr>
      </w:pPr>
    </w:p>
    <w:p>
      <w:pPr>
        <w:pStyle w:val="ListParagraph"/>
        <w:numPr>
          <w:ilvl w:val="1"/>
          <w:numId w:val="2"/>
        </w:numPr>
        <w:tabs>
          <w:tab w:pos="893" w:val="left" w:leader="none"/>
          <w:tab w:pos="894" w:val="left" w:leader="none"/>
        </w:tabs>
        <w:spacing w:line="240" w:lineRule="auto" w:before="0" w:after="0"/>
        <w:ind w:left="893" w:right="2654" w:hanging="721"/>
        <w:jc w:val="left"/>
        <w:rPr>
          <w:sz w:val="24"/>
        </w:rPr>
      </w:pPr>
      <w:r>
        <w:rPr>
          <w:sz w:val="24"/>
        </w:rPr>
        <w:t>Til opgaven har totalrådgiveren tilknyttet følgende underrådgivere:</w:t>
      </w:r>
      <w:r>
        <w:rPr>
          <w:color w:val="FF0000"/>
          <w:sz w:val="24"/>
        </w:rPr>
        <w:t> Firma</w:t>
      </w:r>
    </w:p>
    <w:p>
      <w:pPr>
        <w:pStyle w:val="BodyText"/>
        <w:ind w:left="893" w:right="7750"/>
      </w:pPr>
      <w:r>
        <w:rPr>
          <w:color w:val="FF0000"/>
        </w:rPr>
        <w:t>Adresse. Postnr. Og by CVR.nr.</w:t>
      </w:r>
    </w:p>
    <w:p>
      <w:pPr>
        <w:pStyle w:val="BodyText"/>
      </w:pPr>
    </w:p>
    <w:p>
      <w:pPr>
        <w:pStyle w:val="ListParagraph"/>
        <w:numPr>
          <w:ilvl w:val="1"/>
          <w:numId w:val="2"/>
        </w:numPr>
        <w:tabs>
          <w:tab w:pos="893" w:val="left" w:leader="none"/>
          <w:tab w:pos="894" w:val="left" w:leader="none"/>
        </w:tabs>
        <w:spacing w:line="240" w:lineRule="auto" w:before="0" w:after="0"/>
        <w:ind w:left="893" w:right="5716" w:hanging="721"/>
        <w:jc w:val="left"/>
        <w:rPr>
          <w:sz w:val="24"/>
        </w:rPr>
      </w:pPr>
      <w:r>
        <w:rPr>
          <w:sz w:val="24"/>
        </w:rPr>
        <w:t>Som projekteringsleder er udpeget:</w:t>
      </w:r>
      <w:r>
        <w:rPr>
          <w:color w:val="FF0000"/>
          <w:sz w:val="24"/>
        </w:rPr>
        <w:t> Navn</w:t>
      </w:r>
    </w:p>
    <w:p>
      <w:pPr>
        <w:pStyle w:val="BodyText"/>
      </w:pPr>
    </w:p>
    <w:p>
      <w:pPr>
        <w:pStyle w:val="ListParagraph"/>
        <w:numPr>
          <w:ilvl w:val="1"/>
          <w:numId w:val="2"/>
        </w:numPr>
        <w:tabs>
          <w:tab w:pos="893" w:val="left" w:leader="none"/>
          <w:tab w:pos="894" w:val="left" w:leader="none"/>
        </w:tabs>
        <w:spacing w:line="240" w:lineRule="auto" w:before="0" w:after="0"/>
        <w:ind w:left="893" w:right="6395" w:hanging="721"/>
        <w:jc w:val="left"/>
        <w:rPr>
          <w:sz w:val="24"/>
        </w:rPr>
      </w:pPr>
      <w:r>
        <w:rPr>
          <w:sz w:val="24"/>
        </w:rPr>
        <w:t>Som byggeleder er </w:t>
      </w:r>
      <w:r>
        <w:rPr>
          <w:spacing w:val="-3"/>
          <w:sz w:val="24"/>
        </w:rPr>
        <w:t>udpeget:</w:t>
      </w:r>
      <w:r>
        <w:rPr>
          <w:color w:val="FF0000"/>
          <w:spacing w:val="-3"/>
          <w:sz w:val="24"/>
        </w:rPr>
        <w:t> </w:t>
      </w:r>
      <w:r>
        <w:rPr>
          <w:color w:val="FF0000"/>
          <w:sz w:val="24"/>
        </w:rPr>
        <w:t>Navn</w:t>
      </w:r>
    </w:p>
    <w:p>
      <w:pPr>
        <w:pStyle w:val="BodyText"/>
      </w:pPr>
    </w:p>
    <w:p>
      <w:pPr>
        <w:pStyle w:val="ListParagraph"/>
        <w:numPr>
          <w:ilvl w:val="2"/>
          <w:numId w:val="2"/>
        </w:numPr>
        <w:tabs>
          <w:tab w:pos="893" w:val="left" w:leader="none"/>
          <w:tab w:pos="894" w:val="left" w:leader="none"/>
        </w:tabs>
        <w:spacing w:line="240" w:lineRule="auto" w:before="1" w:after="0"/>
        <w:ind w:left="893" w:right="3316" w:hanging="721"/>
        <w:jc w:val="left"/>
        <w:rPr>
          <w:sz w:val="24"/>
        </w:rPr>
      </w:pPr>
      <w:r>
        <w:rPr>
          <w:sz w:val="24"/>
        </w:rPr>
        <w:t>Som Sikkerhedskoordinator i projekteringsfasen er udpeget:</w:t>
      </w:r>
      <w:r>
        <w:rPr>
          <w:color w:val="FF0000"/>
          <w:sz w:val="24"/>
        </w:rPr>
        <w:t> Navn</w:t>
      </w:r>
    </w:p>
    <w:p>
      <w:pPr>
        <w:spacing w:after="0" w:line="240" w:lineRule="auto"/>
        <w:jc w:val="left"/>
        <w:rPr>
          <w:sz w:val="24"/>
        </w:rPr>
        <w:sectPr>
          <w:footerReference w:type="default" r:id="rId5"/>
          <w:type w:val="continuous"/>
          <w:pgSz w:w="11910" w:h="16850"/>
          <w:pgMar w:footer="679" w:top="1440" w:bottom="860" w:left="960" w:right="960"/>
          <w:pgNumType w:start="1"/>
        </w:sectPr>
      </w:pPr>
    </w:p>
    <w:p>
      <w:pPr>
        <w:pStyle w:val="BodyText"/>
        <w:spacing w:before="6"/>
        <w:rPr>
          <w:sz w:val="25"/>
        </w:rPr>
      </w:pPr>
    </w:p>
    <w:p>
      <w:pPr>
        <w:pStyle w:val="ListParagraph"/>
        <w:numPr>
          <w:ilvl w:val="2"/>
          <w:numId w:val="2"/>
        </w:numPr>
        <w:tabs>
          <w:tab w:pos="893" w:val="left" w:leader="none"/>
          <w:tab w:pos="894" w:val="left" w:leader="none"/>
        </w:tabs>
        <w:spacing w:line="240" w:lineRule="auto" w:before="90" w:after="0"/>
        <w:ind w:left="893" w:right="3743" w:hanging="721"/>
        <w:jc w:val="left"/>
        <w:rPr>
          <w:sz w:val="24"/>
        </w:rPr>
      </w:pPr>
      <w:r>
        <w:rPr>
          <w:sz w:val="24"/>
        </w:rPr>
        <w:t>Som sikkerhedskoordinator i udførselsfasen er</w:t>
      </w:r>
      <w:r>
        <w:rPr>
          <w:spacing w:val="-14"/>
          <w:sz w:val="24"/>
        </w:rPr>
        <w:t> </w:t>
      </w:r>
      <w:r>
        <w:rPr>
          <w:sz w:val="24"/>
        </w:rPr>
        <w:t>udpeget:</w:t>
      </w:r>
      <w:r>
        <w:rPr>
          <w:color w:val="FF0000"/>
          <w:sz w:val="24"/>
        </w:rPr>
        <w:t> Navn</w:t>
      </w:r>
    </w:p>
    <w:p>
      <w:pPr>
        <w:pStyle w:val="BodyText"/>
      </w:pPr>
    </w:p>
    <w:p>
      <w:pPr>
        <w:pStyle w:val="BodyText"/>
        <w:tabs>
          <w:tab w:pos="893" w:val="left" w:leader="none"/>
        </w:tabs>
        <w:ind w:left="893" w:right="4988" w:hanging="721"/>
      </w:pPr>
      <w:r>
        <w:rPr/>
        <w:t>2.5.</w:t>
        <w:tab/>
        <w:t>Som klientens kontaktpersoner er </w:t>
      </w:r>
      <w:r>
        <w:rPr>
          <w:spacing w:val="-3"/>
        </w:rPr>
        <w:t>udpeget:</w:t>
      </w:r>
      <w:r>
        <w:rPr>
          <w:color w:val="FF0000"/>
          <w:spacing w:val="-3"/>
        </w:rPr>
        <w:t> </w:t>
      </w:r>
      <w:r>
        <w:rPr>
          <w:color w:val="FF0000"/>
        </w:rPr>
        <w:t>Navn</w:t>
      </w:r>
    </w:p>
    <w:p>
      <w:pPr>
        <w:pStyle w:val="BodyText"/>
      </w:pPr>
    </w:p>
    <w:p>
      <w:pPr>
        <w:pStyle w:val="BodyText"/>
        <w:tabs>
          <w:tab w:pos="893" w:val="left" w:leader="none"/>
        </w:tabs>
        <w:ind w:left="172"/>
      </w:pPr>
      <w:r>
        <w:rPr/>
        <w:t>2.6</w:t>
        <w:tab/>
        <w:t>Klientens andre</w:t>
      </w:r>
      <w:r>
        <w:rPr>
          <w:spacing w:val="-1"/>
        </w:rPr>
        <w:t> </w:t>
      </w:r>
      <w:r>
        <w:rPr/>
        <w:t>rådgiver:</w:t>
      </w:r>
    </w:p>
    <w:p>
      <w:pPr>
        <w:pStyle w:val="BodyText"/>
        <w:ind w:left="893"/>
      </w:pPr>
      <w:r>
        <w:rPr/>
        <w:t>Klienten har knyttet følgende øvrige rådgivere til opgaven:</w:t>
      </w:r>
    </w:p>
    <w:p>
      <w:pPr>
        <w:pStyle w:val="BodyText"/>
        <w:ind w:left="893"/>
      </w:pPr>
      <w:r>
        <w:rPr>
          <w:color w:val="FF0000"/>
        </w:rPr>
        <w:t>Firma</w:t>
      </w:r>
    </w:p>
    <w:p>
      <w:pPr>
        <w:pStyle w:val="BodyText"/>
        <w:ind w:left="893" w:right="6795"/>
      </w:pPr>
      <w:r>
        <w:rPr>
          <w:color w:val="FF0000"/>
        </w:rPr>
        <w:t>Navn på </w:t>
      </w:r>
      <w:r>
        <w:rPr>
          <w:color w:val="FF0000"/>
          <w:spacing w:val="-3"/>
        </w:rPr>
        <w:t>person </w:t>
      </w:r>
      <w:r>
        <w:rPr>
          <w:color w:val="FF0000"/>
        </w:rPr>
        <w:t>Adresse.</w:t>
      </w:r>
    </w:p>
    <w:p>
      <w:pPr>
        <w:pStyle w:val="BodyText"/>
        <w:spacing w:before="1"/>
        <w:ind w:left="893" w:right="7750"/>
      </w:pPr>
      <w:r>
        <w:rPr>
          <w:color w:val="FF0000"/>
        </w:rPr>
        <w:t>Postnr. Og </w:t>
      </w:r>
      <w:r>
        <w:rPr>
          <w:color w:val="FF0000"/>
          <w:spacing w:val="-10"/>
        </w:rPr>
        <w:t>by </w:t>
      </w:r>
      <w:r>
        <w:rPr>
          <w:color w:val="FF0000"/>
        </w:rPr>
        <w:t>CVR.nr.</w:t>
      </w:r>
    </w:p>
    <w:p>
      <w:pPr>
        <w:pStyle w:val="BodyText"/>
        <w:rPr>
          <w:sz w:val="26"/>
        </w:rPr>
      </w:pPr>
    </w:p>
    <w:p>
      <w:pPr>
        <w:pStyle w:val="BodyText"/>
        <w:rPr>
          <w:sz w:val="26"/>
        </w:rPr>
      </w:pPr>
    </w:p>
    <w:p>
      <w:pPr>
        <w:pStyle w:val="Heading2"/>
        <w:numPr>
          <w:ilvl w:val="0"/>
          <w:numId w:val="1"/>
        </w:numPr>
        <w:tabs>
          <w:tab w:pos="893" w:val="left" w:leader="none"/>
          <w:tab w:pos="894" w:val="left" w:leader="none"/>
        </w:tabs>
        <w:spacing w:line="240" w:lineRule="auto" w:before="230" w:after="0"/>
        <w:ind w:left="893" w:right="0" w:hanging="721"/>
        <w:jc w:val="left"/>
      </w:pPr>
      <w:r>
        <w:rPr/>
        <w:t>Aftalegrundlag</w:t>
      </w:r>
    </w:p>
    <w:p>
      <w:pPr>
        <w:pStyle w:val="ListParagraph"/>
        <w:numPr>
          <w:ilvl w:val="1"/>
          <w:numId w:val="3"/>
        </w:numPr>
        <w:tabs>
          <w:tab w:pos="893" w:val="left" w:leader="none"/>
          <w:tab w:pos="894" w:val="left" w:leader="none"/>
        </w:tabs>
        <w:spacing w:line="240" w:lineRule="auto" w:before="0" w:after="0"/>
        <w:ind w:left="893" w:right="918" w:hanging="721"/>
        <w:jc w:val="left"/>
        <w:rPr>
          <w:sz w:val="24"/>
        </w:rPr>
      </w:pPr>
      <w:r>
        <w:rPr>
          <w:sz w:val="24"/>
        </w:rPr>
        <w:t>Almindelige betingelser for teknisk Rådgivning og bistand (ABR 89) med de fravigelser,tilføjelser,ændringer og præciseringer, som fremgår af nærværende</w:t>
      </w:r>
      <w:r>
        <w:rPr>
          <w:spacing w:val="-20"/>
          <w:sz w:val="24"/>
        </w:rPr>
        <w:t> </w:t>
      </w:r>
      <w:r>
        <w:rPr>
          <w:sz w:val="24"/>
        </w:rPr>
        <w:t>aftale.</w:t>
      </w:r>
    </w:p>
    <w:p>
      <w:pPr>
        <w:pStyle w:val="BodyText"/>
      </w:pPr>
    </w:p>
    <w:p>
      <w:pPr>
        <w:pStyle w:val="BodyText"/>
        <w:ind w:left="893"/>
      </w:pPr>
      <w:r>
        <w:rPr/>
        <w:t>Danske ARK og FRI´s ydelsesbeskrivelser for Byggeri og Planlægning 2012</w:t>
      </w:r>
    </w:p>
    <w:p>
      <w:pPr>
        <w:pStyle w:val="BodyText"/>
        <w:rPr>
          <w:sz w:val="26"/>
        </w:rPr>
      </w:pPr>
    </w:p>
    <w:p>
      <w:pPr>
        <w:pStyle w:val="BodyText"/>
        <w:rPr>
          <w:sz w:val="22"/>
        </w:rPr>
      </w:pPr>
    </w:p>
    <w:p>
      <w:pPr>
        <w:pStyle w:val="ListParagraph"/>
        <w:numPr>
          <w:ilvl w:val="1"/>
          <w:numId w:val="3"/>
        </w:numPr>
        <w:tabs>
          <w:tab w:pos="893" w:val="left" w:leader="none"/>
          <w:tab w:pos="894" w:val="left" w:leader="none"/>
        </w:tabs>
        <w:spacing w:line="240" w:lineRule="auto" w:before="0" w:after="0"/>
        <w:ind w:left="893" w:right="4151" w:hanging="721"/>
        <w:jc w:val="left"/>
        <w:rPr>
          <w:sz w:val="24"/>
        </w:rPr>
      </w:pPr>
      <w:r>
        <w:rPr>
          <w:sz w:val="24"/>
        </w:rPr>
        <w:t>Klientens materiale som forudsætning for opgaven: Esbjerg Kommunes byggetekniske</w:t>
      </w:r>
      <w:r>
        <w:rPr>
          <w:spacing w:val="-6"/>
          <w:sz w:val="24"/>
        </w:rPr>
        <w:t> </w:t>
      </w:r>
      <w:r>
        <w:rPr>
          <w:sz w:val="24"/>
        </w:rPr>
        <w:t>standard,</w:t>
      </w:r>
    </w:p>
    <w:p>
      <w:pPr>
        <w:pStyle w:val="BodyText"/>
        <w:ind w:left="893" w:right="2559"/>
      </w:pPr>
      <w:r>
        <w:rPr/>
        <w:t>Esbjerg kommunes ”Vejledning i udarbejdelse af fællesbetingelser” Esbjerg Kommunes fællesbetingelser til AB 92,</w:t>
      </w:r>
    </w:p>
    <w:p>
      <w:pPr>
        <w:pStyle w:val="BodyText"/>
        <w:ind w:left="893" w:right="872"/>
      </w:pPr>
      <w:r>
        <w:rPr/>
        <w:t>Esbjerg kommunes paradigme for ”Sikkerhed og Sundhed på kommunens byggerier” </w:t>
      </w:r>
      <w:r>
        <w:rPr>
          <w:color w:val="FF0000"/>
        </w:rPr>
        <w:t>Byggeprogram dateret d.</w:t>
      </w:r>
    </w:p>
    <w:p>
      <w:pPr>
        <w:pStyle w:val="BodyText"/>
        <w:ind w:left="893" w:right="5080"/>
      </w:pPr>
      <w:r>
        <w:rPr>
          <w:color w:val="FF0000"/>
        </w:rPr>
        <w:t>Esbjerg kommunes skitseforslag dateret d </w:t>
      </w:r>
      <w:r>
        <w:rPr/>
        <w:t>IKT-specifikation, jf. </w:t>
      </w:r>
      <w:r>
        <w:rPr>
          <w:color w:val="FF0000"/>
        </w:rPr>
        <w:t>Bilag 4</w:t>
      </w:r>
    </w:p>
    <w:p>
      <w:pPr>
        <w:pStyle w:val="BodyText"/>
      </w:pPr>
    </w:p>
    <w:p>
      <w:pPr>
        <w:pStyle w:val="ListParagraph"/>
        <w:numPr>
          <w:ilvl w:val="1"/>
          <w:numId w:val="3"/>
        </w:numPr>
        <w:tabs>
          <w:tab w:pos="893" w:val="left" w:leader="none"/>
          <w:tab w:pos="894" w:val="left" w:leader="none"/>
        </w:tabs>
        <w:spacing w:line="240" w:lineRule="auto" w:before="0" w:after="0"/>
        <w:ind w:left="893" w:right="0" w:hanging="721"/>
        <w:jc w:val="left"/>
        <w:rPr>
          <w:sz w:val="24"/>
        </w:rPr>
      </w:pPr>
      <w:r>
        <w:rPr>
          <w:sz w:val="24"/>
        </w:rPr>
        <w:t>Udgifter til screeningsrapporter (PCB, asbest, jordbund) afholdes og rekvireres af</w:t>
      </w:r>
      <w:r>
        <w:rPr>
          <w:spacing w:val="-11"/>
          <w:sz w:val="24"/>
        </w:rPr>
        <w:t> </w:t>
      </w:r>
      <w:r>
        <w:rPr>
          <w:sz w:val="24"/>
        </w:rPr>
        <w:t>klienten.</w:t>
      </w:r>
    </w:p>
    <w:p>
      <w:pPr>
        <w:pStyle w:val="BodyText"/>
      </w:pPr>
    </w:p>
    <w:p>
      <w:pPr>
        <w:pStyle w:val="BodyText"/>
        <w:tabs>
          <w:tab w:pos="893" w:val="left" w:leader="none"/>
        </w:tabs>
        <w:spacing w:before="1"/>
        <w:ind w:left="172"/>
      </w:pPr>
      <w:r>
        <w:rPr/>
        <w:t>3.4.</w:t>
        <w:tab/>
        <w:t>Andet:</w:t>
      </w:r>
    </w:p>
    <w:p>
      <w:pPr>
        <w:pStyle w:val="BodyText"/>
        <w:ind w:left="893" w:right="186"/>
      </w:pPr>
      <w:r>
        <w:rPr/>
        <w:t>Opgaven skal udføres således, at den kan udbydes og gennemføres i indbudt licitation i </w:t>
      </w:r>
      <w:r>
        <w:rPr>
          <w:color w:val="FF0000"/>
        </w:rPr>
        <w:t>fag</w:t>
      </w:r>
      <w:r>
        <w:rPr/>
        <w:t>entreprise i overensstemmelse med Boligministeriets cirkulære om pris og tid på bygge- og anlægsarbejder på grundlag af detaljeret hovedprojekt. Klienten deltager i udvælgelsen af entreprenører, der skal indbydes.</w:t>
      </w:r>
    </w:p>
    <w:p>
      <w:pPr>
        <w:pStyle w:val="BodyText"/>
      </w:pPr>
    </w:p>
    <w:p>
      <w:pPr>
        <w:pStyle w:val="BodyText"/>
        <w:ind w:left="893" w:right="426"/>
      </w:pPr>
      <w:r>
        <w:rPr/>
        <w:t>Rådgiveren skal kvalitetssikre egne ydelser. Projektet skal i øvrigt udformes under iagttagelse af bekendtgørelse om kvalitetssikring af byggearbejder. Kvalitetsgranskningen fremsendes til klienten </w:t>
      </w:r>
      <w:r>
        <w:rPr>
          <w:b/>
        </w:rPr>
        <w:t>min.10 </w:t>
      </w:r>
      <w:r>
        <w:rPr/>
        <w:t>arbejdsdage inden udsendelse i udbud.</w:t>
      </w:r>
    </w:p>
    <w:p>
      <w:pPr>
        <w:pStyle w:val="BodyText"/>
        <w:rPr>
          <w:sz w:val="26"/>
        </w:rPr>
      </w:pPr>
    </w:p>
    <w:p>
      <w:pPr>
        <w:pStyle w:val="BodyText"/>
        <w:spacing w:before="5"/>
        <w:rPr>
          <w:sz w:val="22"/>
        </w:rPr>
      </w:pPr>
    </w:p>
    <w:p>
      <w:pPr>
        <w:pStyle w:val="Heading2"/>
        <w:numPr>
          <w:ilvl w:val="0"/>
          <w:numId w:val="1"/>
        </w:numPr>
        <w:tabs>
          <w:tab w:pos="893" w:val="left" w:leader="none"/>
          <w:tab w:pos="894" w:val="left" w:leader="none"/>
        </w:tabs>
        <w:spacing w:line="274" w:lineRule="exact" w:before="0" w:after="0"/>
        <w:ind w:left="893" w:right="0" w:hanging="721"/>
        <w:jc w:val="left"/>
      </w:pPr>
      <w:r>
        <w:rPr/>
        <w:t>Rådgiverens</w:t>
      </w:r>
      <w:r>
        <w:rPr>
          <w:spacing w:val="-2"/>
        </w:rPr>
        <w:t> </w:t>
      </w:r>
      <w:r>
        <w:rPr/>
        <w:t>ydelser</w:t>
      </w:r>
    </w:p>
    <w:p>
      <w:pPr>
        <w:pStyle w:val="BodyText"/>
        <w:spacing w:line="274" w:lineRule="exact"/>
        <w:ind w:left="893"/>
      </w:pPr>
      <w:r>
        <w:rPr/>
        <w:t>Aftalen omfatter udførelse af følgende faser,</w:t>
      </w:r>
    </w:p>
    <w:p>
      <w:pPr>
        <w:pStyle w:val="BodyText"/>
        <w:spacing w:before="1"/>
      </w:pPr>
    </w:p>
    <w:p>
      <w:pPr>
        <w:pStyle w:val="ListParagraph"/>
        <w:numPr>
          <w:ilvl w:val="1"/>
          <w:numId w:val="4"/>
        </w:numPr>
        <w:tabs>
          <w:tab w:pos="878" w:val="left" w:leader="none"/>
          <w:tab w:pos="879" w:val="left" w:leader="none"/>
        </w:tabs>
        <w:spacing w:line="240" w:lineRule="auto" w:before="0" w:after="0"/>
        <w:ind w:left="878" w:right="543" w:hanging="706"/>
        <w:jc w:val="left"/>
        <w:rPr>
          <w:sz w:val="24"/>
        </w:rPr>
      </w:pPr>
      <w:r>
        <w:rPr>
          <w:sz w:val="24"/>
        </w:rPr>
        <w:t>Dispositionsforslag udarbejdet på baggrund af idéoplægget, inkl. nødvendig opmåling og registrering (DANSKE ARK/FRI</w:t>
      </w:r>
      <w:r>
        <w:rPr>
          <w:spacing w:val="-11"/>
          <w:sz w:val="24"/>
        </w:rPr>
        <w:t> </w:t>
      </w:r>
      <w:r>
        <w:rPr>
          <w:sz w:val="24"/>
        </w:rPr>
        <w:t>3.1)</w:t>
      </w:r>
    </w:p>
    <w:p>
      <w:pPr>
        <w:spacing w:after="0" w:line="240" w:lineRule="auto"/>
        <w:jc w:val="left"/>
        <w:rPr>
          <w:sz w:val="24"/>
        </w:rPr>
        <w:sectPr>
          <w:pgSz w:w="11910" w:h="16850"/>
          <w:pgMar w:header="0" w:footer="679" w:top="1600" w:bottom="880" w:left="960" w:right="960"/>
        </w:sectPr>
      </w:pPr>
    </w:p>
    <w:p>
      <w:pPr>
        <w:pStyle w:val="ListParagraph"/>
        <w:numPr>
          <w:ilvl w:val="1"/>
          <w:numId w:val="4"/>
        </w:numPr>
        <w:tabs>
          <w:tab w:pos="881" w:val="left" w:leader="none"/>
          <w:tab w:pos="882" w:val="left" w:leader="none"/>
        </w:tabs>
        <w:spacing w:line="240" w:lineRule="auto" w:before="107" w:after="0"/>
        <w:ind w:left="881" w:right="0" w:hanging="709"/>
        <w:jc w:val="left"/>
        <w:rPr>
          <w:sz w:val="24"/>
        </w:rPr>
      </w:pPr>
      <w:r>
        <w:rPr>
          <w:sz w:val="24"/>
        </w:rPr>
        <w:t>Projektforslag (DANSKE ARK/FRI</w:t>
      </w:r>
      <w:r>
        <w:rPr>
          <w:spacing w:val="-9"/>
          <w:sz w:val="24"/>
        </w:rPr>
        <w:t> </w:t>
      </w:r>
      <w:r>
        <w:rPr>
          <w:sz w:val="24"/>
        </w:rPr>
        <w:t>3.2).</w:t>
      </w:r>
    </w:p>
    <w:p>
      <w:pPr>
        <w:pStyle w:val="BodyText"/>
      </w:pPr>
    </w:p>
    <w:p>
      <w:pPr>
        <w:pStyle w:val="ListParagraph"/>
        <w:numPr>
          <w:ilvl w:val="1"/>
          <w:numId w:val="4"/>
        </w:numPr>
        <w:tabs>
          <w:tab w:pos="881" w:val="left" w:leader="none"/>
          <w:tab w:pos="882" w:val="left" w:leader="none"/>
        </w:tabs>
        <w:spacing w:line="240" w:lineRule="auto" w:before="0" w:after="0"/>
        <w:ind w:left="881" w:right="0" w:hanging="709"/>
        <w:jc w:val="left"/>
        <w:rPr>
          <w:sz w:val="24"/>
        </w:rPr>
      </w:pPr>
      <w:r>
        <w:rPr>
          <w:sz w:val="24"/>
        </w:rPr>
        <w:t>Hovedprojekt inkl. indhentning af byggetilladelse mv (DANSKE ARK/FRI 3.3 og</w:t>
      </w:r>
      <w:r>
        <w:rPr>
          <w:spacing w:val="-14"/>
          <w:sz w:val="24"/>
        </w:rPr>
        <w:t> </w:t>
      </w:r>
      <w:r>
        <w:rPr>
          <w:sz w:val="24"/>
        </w:rPr>
        <w:t>3.4)</w:t>
      </w:r>
    </w:p>
    <w:p>
      <w:pPr>
        <w:pStyle w:val="BodyText"/>
      </w:pPr>
    </w:p>
    <w:p>
      <w:pPr>
        <w:pStyle w:val="ListParagraph"/>
        <w:numPr>
          <w:ilvl w:val="1"/>
          <w:numId w:val="4"/>
        </w:numPr>
        <w:tabs>
          <w:tab w:pos="881" w:val="left" w:leader="none"/>
          <w:tab w:pos="882" w:val="left" w:leader="none"/>
        </w:tabs>
        <w:spacing w:line="240" w:lineRule="auto" w:before="0" w:after="0"/>
        <w:ind w:left="881" w:right="0" w:hanging="709"/>
        <w:jc w:val="left"/>
        <w:rPr>
          <w:sz w:val="24"/>
        </w:rPr>
      </w:pPr>
      <w:r>
        <w:rPr>
          <w:sz w:val="24"/>
        </w:rPr>
        <w:t>Udbud (DANSKE ARK/FRI</w:t>
      </w:r>
      <w:r>
        <w:rPr>
          <w:spacing w:val="-7"/>
          <w:sz w:val="24"/>
        </w:rPr>
        <w:t> </w:t>
      </w:r>
      <w:r>
        <w:rPr>
          <w:sz w:val="24"/>
        </w:rPr>
        <w:t>3.4)</w:t>
      </w:r>
    </w:p>
    <w:p>
      <w:pPr>
        <w:pStyle w:val="BodyText"/>
      </w:pPr>
    </w:p>
    <w:p>
      <w:pPr>
        <w:pStyle w:val="BodyText"/>
        <w:ind w:left="881" w:right="864"/>
      </w:pPr>
      <w:r>
        <w:rPr/>
        <w:t>Normalydelse under ovennævnte faser 4.1 – 4.4 er jf. ydelsesfordelingsskema og IKT ydelsesspecifikation:</w:t>
      </w:r>
    </w:p>
    <w:p>
      <w:pPr>
        <w:pStyle w:val="ListParagraph"/>
        <w:numPr>
          <w:ilvl w:val="2"/>
          <w:numId w:val="4"/>
        </w:numPr>
        <w:tabs>
          <w:tab w:pos="1305" w:val="left" w:leader="none"/>
          <w:tab w:pos="1306" w:val="left" w:leader="none"/>
        </w:tabs>
        <w:spacing w:line="287" w:lineRule="exact" w:before="1" w:after="0"/>
        <w:ind w:left="1306" w:right="0" w:hanging="360"/>
        <w:jc w:val="left"/>
        <w:rPr>
          <w:sz w:val="24"/>
        </w:rPr>
      </w:pPr>
      <w:r>
        <w:rPr>
          <w:sz w:val="24"/>
        </w:rPr>
        <w:t>Projekteringsledelse (DANSKE ARK/FRI</w:t>
      </w:r>
      <w:r>
        <w:rPr>
          <w:spacing w:val="-6"/>
          <w:sz w:val="24"/>
        </w:rPr>
        <w:t> </w:t>
      </w:r>
      <w:r>
        <w:rPr>
          <w:sz w:val="24"/>
        </w:rPr>
        <w:t>2.1)</w:t>
      </w:r>
    </w:p>
    <w:p>
      <w:pPr>
        <w:pStyle w:val="ListParagraph"/>
        <w:numPr>
          <w:ilvl w:val="2"/>
          <w:numId w:val="4"/>
        </w:numPr>
        <w:tabs>
          <w:tab w:pos="1305" w:val="left" w:leader="none"/>
          <w:tab w:pos="1306" w:val="left" w:leader="none"/>
        </w:tabs>
        <w:spacing w:line="281" w:lineRule="exact" w:before="0" w:after="0"/>
        <w:ind w:left="1306" w:right="0" w:hanging="360"/>
        <w:jc w:val="left"/>
        <w:rPr>
          <w:sz w:val="24"/>
        </w:rPr>
      </w:pPr>
      <w:r>
        <w:rPr>
          <w:sz w:val="24"/>
        </w:rPr>
        <w:t>Kvalitetssikring af projektet inklusiv</w:t>
      </w:r>
      <w:r>
        <w:rPr>
          <w:spacing w:val="-4"/>
          <w:sz w:val="24"/>
        </w:rPr>
        <w:t> </w:t>
      </w:r>
      <w:r>
        <w:rPr>
          <w:sz w:val="24"/>
        </w:rPr>
        <w:t>kontrolplaner</w:t>
      </w:r>
    </w:p>
    <w:p>
      <w:pPr>
        <w:pStyle w:val="ListParagraph"/>
        <w:numPr>
          <w:ilvl w:val="2"/>
          <w:numId w:val="4"/>
        </w:numPr>
        <w:tabs>
          <w:tab w:pos="1305" w:val="left" w:leader="none"/>
          <w:tab w:pos="1306" w:val="left" w:leader="none"/>
        </w:tabs>
        <w:spacing w:line="280" w:lineRule="exact" w:before="0" w:after="0"/>
        <w:ind w:left="1306" w:right="0" w:hanging="360"/>
        <w:jc w:val="left"/>
        <w:rPr>
          <w:sz w:val="24"/>
        </w:rPr>
      </w:pPr>
      <w:r>
        <w:rPr>
          <w:sz w:val="24"/>
        </w:rPr>
        <w:t>Offentlig licitation i</w:t>
      </w:r>
      <w:r>
        <w:rPr>
          <w:spacing w:val="-2"/>
          <w:sz w:val="24"/>
        </w:rPr>
        <w:t> </w:t>
      </w:r>
      <w:r>
        <w:rPr>
          <w:color w:val="FF0000"/>
          <w:sz w:val="24"/>
        </w:rPr>
        <w:t>fag</w:t>
      </w:r>
      <w:r>
        <w:rPr>
          <w:sz w:val="24"/>
        </w:rPr>
        <w:t>entreprise</w:t>
      </w:r>
    </w:p>
    <w:p>
      <w:pPr>
        <w:pStyle w:val="ListParagraph"/>
        <w:numPr>
          <w:ilvl w:val="2"/>
          <w:numId w:val="4"/>
        </w:numPr>
        <w:tabs>
          <w:tab w:pos="1305" w:val="left" w:leader="none"/>
          <w:tab w:pos="1306" w:val="left" w:leader="none"/>
        </w:tabs>
        <w:spacing w:line="280" w:lineRule="exact" w:before="0" w:after="0"/>
        <w:ind w:left="1306" w:right="0" w:hanging="360"/>
        <w:jc w:val="left"/>
        <w:rPr>
          <w:sz w:val="24"/>
        </w:rPr>
      </w:pPr>
      <w:r>
        <w:rPr>
          <w:sz w:val="24"/>
        </w:rPr>
        <w:t>Projektgennemgang og forhandling med</w:t>
      </w:r>
      <w:r>
        <w:rPr>
          <w:spacing w:val="-9"/>
          <w:sz w:val="24"/>
        </w:rPr>
        <w:t> </w:t>
      </w:r>
      <w:r>
        <w:rPr>
          <w:sz w:val="24"/>
        </w:rPr>
        <w:t>entreprenørerne</w:t>
      </w:r>
    </w:p>
    <w:p>
      <w:pPr>
        <w:pStyle w:val="ListParagraph"/>
        <w:numPr>
          <w:ilvl w:val="2"/>
          <w:numId w:val="4"/>
        </w:numPr>
        <w:tabs>
          <w:tab w:pos="1305" w:val="left" w:leader="none"/>
          <w:tab w:pos="1306" w:val="left" w:leader="none"/>
        </w:tabs>
        <w:spacing w:line="281" w:lineRule="exact" w:before="0" w:after="0"/>
        <w:ind w:left="1306" w:right="0" w:hanging="360"/>
        <w:jc w:val="left"/>
        <w:rPr>
          <w:sz w:val="24"/>
        </w:rPr>
      </w:pPr>
      <w:r>
        <w:rPr>
          <w:sz w:val="24"/>
        </w:rPr>
        <w:t>Indstilling af</w:t>
      </w:r>
      <w:r>
        <w:rPr>
          <w:spacing w:val="-2"/>
          <w:sz w:val="24"/>
        </w:rPr>
        <w:t> </w:t>
      </w:r>
      <w:r>
        <w:rPr>
          <w:sz w:val="24"/>
        </w:rPr>
        <w:t>tilbudsgivere</w:t>
      </w:r>
    </w:p>
    <w:p>
      <w:pPr>
        <w:pStyle w:val="ListParagraph"/>
        <w:numPr>
          <w:ilvl w:val="2"/>
          <w:numId w:val="4"/>
        </w:numPr>
        <w:tabs>
          <w:tab w:pos="1305" w:val="left" w:leader="none"/>
          <w:tab w:pos="1306" w:val="left" w:leader="none"/>
        </w:tabs>
        <w:spacing w:line="281" w:lineRule="exact" w:before="0" w:after="0"/>
        <w:ind w:left="1306" w:right="0" w:hanging="360"/>
        <w:jc w:val="left"/>
        <w:rPr>
          <w:sz w:val="24"/>
        </w:rPr>
      </w:pPr>
      <w:r>
        <w:rPr>
          <w:sz w:val="24"/>
        </w:rPr>
        <w:t>Udarbejdelse af</w:t>
      </w:r>
      <w:r>
        <w:rPr>
          <w:spacing w:val="-1"/>
          <w:sz w:val="24"/>
        </w:rPr>
        <w:t> </w:t>
      </w:r>
      <w:r>
        <w:rPr>
          <w:sz w:val="24"/>
        </w:rPr>
        <w:t>accepter</w:t>
      </w:r>
    </w:p>
    <w:p>
      <w:pPr>
        <w:pStyle w:val="ListParagraph"/>
        <w:numPr>
          <w:ilvl w:val="2"/>
          <w:numId w:val="4"/>
        </w:numPr>
        <w:tabs>
          <w:tab w:pos="1305" w:val="left" w:leader="none"/>
          <w:tab w:pos="1306" w:val="left" w:leader="none"/>
        </w:tabs>
        <w:spacing w:line="287" w:lineRule="exact" w:before="0" w:after="0"/>
        <w:ind w:left="1306" w:right="0" w:hanging="360"/>
        <w:jc w:val="left"/>
        <w:rPr>
          <w:sz w:val="24"/>
        </w:rPr>
      </w:pPr>
      <w:r>
        <w:rPr>
          <w:sz w:val="24"/>
        </w:rPr>
        <w:t>Oplæg til entreprisekontrakt på grundlag af bygherrens</w:t>
      </w:r>
      <w:r>
        <w:rPr>
          <w:spacing w:val="-7"/>
          <w:sz w:val="24"/>
        </w:rPr>
        <w:t> </w:t>
      </w:r>
      <w:r>
        <w:rPr>
          <w:sz w:val="24"/>
        </w:rPr>
        <w:t>koncept</w:t>
      </w:r>
    </w:p>
    <w:p>
      <w:pPr>
        <w:pStyle w:val="BodyText"/>
        <w:spacing w:before="10"/>
        <w:rPr>
          <w:sz w:val="22"/>
        </w:rPr>
      </w:pPr>
    </w:p>
    <w:p>
      <w:pPr>
        <w:pStyle w:val="ListParagraph"/>
        <w:numPr>
          <w:ilvl w:val="1"/>
          <w:numId w:val="4"/>
        </w:numPr>
        <w:tabs>
          <w:tab w:pos="878" w:val="left" w:leader="none"/>
          <w:tab w:pos="879" w:val="left" w:leader="none"/>
        </w:tabs>
        <w:spacing w:line="240" w:lineRule="auto" w:before="0" w:after="0"/>
        <w:ind w:left="878" w:right="639" w:hanging="706"/>
        <w:jc w:val="left"/>
        <w:rPr>
          <w:sz w:val="24"/>
        </w:rPr>
      </w:pPr>
      <w:r>
        <w:rPr>
          <w:sz w:val="24"/>
        </w:rPr>
        <w:t>Projektopfølgning, byggeledelse og fagtilsyn (DANSKE ARK/FRI 3.5, 4.1 og 4.2) er</w:t>
      </w:r>
      <w:r>
        <w:rPr>
          <w:spacing w:val="-27"/>
          <w:sz w:val="24"/>
        </w:rPr>
        <w:t> </w:t>
      </w:r>
      <w:r>
        <w:rPr>
          <w:sz w:val="24"/>
        </w:rPr>
        <w:t>jf. ydelsesfordelingsskema og IKT</w:t>
      </w:r>
      <w:r>
        <w:rPr>
          <w:spacing w:val="3"/>
          <w:sz w:val="24"/>
        </w:rPr>
        <w:t> </w:t>
      </w:r>
      <w:r>
        <w:rPr>
          <w:sz w:val="24"/>
        </w:rPr>
        <w:t>ydelsesspecifikation:</w:t>
      </w:r>
    </w:p>
    <w:p>
      <w:pPr>
        <w:pStyle w:val="BodyText"/>
      </w:pPr>
    </w:p>
    <w:p>
      <w:pPr>
        <w:pStyle w:val="BodyText"/>
        <w:ind w:left="878"/>
      </w:pPr>
      <w:r>
        <w:rPr/>
        <w:t>Normalydelser under opførelsen er:</w:t>
      </w:r>
    </w:p>
    <w:p>
      <w:pPr>
        <w:pStyle w:val="ListParagraph"/>
        <w:numPr>
          <w:ilvl w:val="2"/>
          <w:numId w:val="4"/>
        </w:numPr>
        <w:tabs>
          <w:tab w:pos="1305" w:val="left" w:leader="none"/>
          <w:tab w:pos="1306" w:val="left" w:leader="none"/>
        </w:tabs>
        <w:spacing w:line="287" w:lineRule="exact" w:before="1" w:after="0"/>
        <w:ind w:left="1306" w:right="0" w:hanging="360"/>
        <w:jc w:val="left"/>
        <w:rPr>
          <w:sz w:val="24"/>
        </w:rPr>
      </w:pPr>
      <w:r>
        <w:rPr>
          <w:sz w:val="24"/>
        </w:rPr>
        <w:t>Planlægning, koordinering og afgrænsning af sikkerheds- og</w:t>
      </w:r>
      <w:r>
        <w:rPr>
          <w:spacing w:val="-13"/>
          <w:sz w:val="24"/>
        </w:rPr>
        <w:t> </w:t>
      </w:r>
      <w:r>
        <w:rPr>
          <w:sz w:val="24"/>
        </w:rPr>
        <w:t>sundhedsarbejdet</w:t>
      </w:r>
    </w:p>
    <w:p>
      <w:pPr>
        <w:pStyle w:val="ListParagraph"/>
        <w:numPr>
          <w:ilvl w:val="2"/>
          <w:numId w:val="4"/>
        </w:numPr>
        <w:tabs>
          <w:tab w:pos="1305" w:val="left" w:leader="none"/>
          <w:tab w:pos="1306" w:val="left" w:leader="none"/>
        </w:tabs>
        <w:spacing w:line="280" w:lineRule="exact" w:before="0" w:after="0"/>
        <w:ind w:left="1306" w:right="0" w:hanging="360"/>
        <w:jc w:val="left"/>
        <w:rPr>
          <w:sz w:val="24"/>
        </w:rPr>
      </w:pPr>
      <w:r>
        <w:rPr>
          <w:sz w:val="24"/>
        </w:rPr>
        <w:t>Kvalitetssikring af udførelsen inkl.</w:t>
      </w:r>
      <w:r>
        <w:rPr>
          <w:spacing w:val="-4"/>
          <w:sz w:val="24"/>
        </w:rPr>
        <w:t> </w:t>
      </w:r>
      <w:r>
        <w:rPr>
          <w:sz w:val="24"/>
        </w:rPr>
        <w:t>dokumentation</w:t>
      </w:r>
    </w:p>
    <w:p>
      <w:pPr>
        <w:pStyle w:val="ListParagraph"/>
        <w:numPr>
          <w:ilvl w:val="2"/>
          <w:numId w:val="4"/>
        </w:numPr>
        <w:tabs>
          <w:tab w:pos="1305" w:val="left" w:leader="none"/>
          <w:tab w:pos="1306" w:val="left" w:leader="none"/>
        </w:tabs>
        <w:spacing w:line="235" w:lineRule="auto" w:before="0" w:after="0"/>
        <w:ind w:left="1306" w:right="275" w:hanging="360"/>
        <w:jc w:val="left"/>
        <w:rPr>
          <w:sz w:val="24"/>
        </w:rPr>
      </w:pPr>
      <w:r>
        <w:rPr>
          <w:sz w:val="24"/>
        </w:rPr>
        <w:t>Udarbejdelse af rettede tegninger m.v. efter byggeriets afslutning (niveau 3 jf. DANSKE ARK/FRI ”Som udført”, februar 2000). Tegninger skal være navngivet så de kan lokaliseres af</w:t>
      </w:r>
      <w:r>
        <w:rPr>
          <w:spacing w:val="-2"/>
          <w:sz w:val="24"/>
        </w:rPr>
        <w:t> </w:t>
      </w:r>
      <w:r>
        <w:rPr>
          <w:sz w:val="24"/>
        </w:rPr>
        <w:t>bygherre.</w:t>
      </w:r>
    </w:p>
    <w:p>
      <w:pPr>
        <w:pStyle w:val="ListParagraph"/>
        <w:numPr>
          <w:ilvl w:val="2"/>
          <w:numId w:val="4"/>
        </w:numPr>
        <w:tabs>
          <w:tab w:pos="1305" w:val="left" w:leader="none"/>
          <w:tab w:pos="1306" w:val="left" w:leader="none"/>
        </w:tabs>
        <w:spacing w:line="230" w:lineRule="auto" w:before="7" w:after="0"/>
        <w:ind w:left="1306" w:right="1003" w:hanging="360"/>
        <w:jc w:val="left"/>
        <w:rPr>
          <w:sz w:val="24"/>
        </w:rPr>
      </w:pPr>
      <w:r>
        <w:rPr>
          <w:sz w:val="24"/>
        </w:rPr>
        <w:t>Driftsinstruktion og vedligeholdelsesvejledning samt brandteknisk vedligeholds vejledning jvf.</w:t>
      </w:r>
      <w:r>
        <w:rPr>
          <w:spacing w:val="-3"/>
          <w:sz w:val="24"/>
        </w:rPr>
        <w:t> </w:t>
      </w:r>
      <w:r>
        <w:rPr>
          <w:sz w:val="24"/>
        </w:rPr>
        <w:t>byggeprogrammet.</w:t>
      </w:r>
    </w:p>
    <w:p>
      <w:pPr>
        <w:pStyle w:val="ListParagraph"/>
        <w:numPr>
          <w:ilvl w:val="2"/>
          <w:numId w:val="4"/>
        </w:numPr>
        <w:tabs>
          <w:tab w:pos="1305" w:val="left" w:leader="none"/>
          <w:tab w:pos="1306" w:val="left" w:leader="none"/>
        </w:tabs>
        <w:spacing w:line="287" w:lineRule="exact" w:before="1" w:after="0"/>
        <w:ind w:left="1306" w:right="0" w:hanging="360"/>
        <w:jc w:val="left"/>
        <w:rPr>
          <w:sz w:val="24"/>
        </w:rPr>
      </w:pPr>
      <w:r>
        <w:rPr>
          <w:sz w:val="24"/>
        </w:rPr>
        <w:t>Vedligeholdelses vejledning m.v. jf. pkt.</w:t>
      </w:r>
      <w:r>
        <w:rPr>
          <w:spacing w:val="-4"/>
          <w:sz w:val="24"/>
        </w:rPr>
        <w:t> </w:t>
      </w:r>
      <w:r>
        <w:rPr>
          <w:sz w:val="24"/>
        </w:rPr>
        <w:t>3.4.</w:t>
      </w:r>
    </w:p>
    <w:p>
      <w:pPr>
        <w:pStyle w:val="ListParagraph"/>
        <w:numPr>
          <w:ilvl w:val="2"/>
          <w:numId w:val="4"/>
        </w:numPr>
        <w:tabs>
          <w:tab w:pos="1305" w:val="left" w:leader="none"/>
          <w:tab w:pos="1306" w:val="left" w:leader="none"/>
        </w:tabs>
        <w:spacing w:line="287" w:lineRule="exact" w:before="0" w:after="0"/>
        <w:ind w:left="1306" w:right="0" w:hanging="360"/>
        <w:jc w:val="left"/>
        <w:rPr>
          <w:sz w:val="24"/>
        </w:rPr>
      </w:pPr>
      <w:r>
        <w:rPr>
          <w:sz w:val="24"/>
        </w:rPr>
        <w:t>1-års</w:t>
      </w:r>
      <w:r>
        <w:rPr>
          <w:spacing w:val="-1"/>
          <w:sz w:val="24"/>
        </w:rPr>
        <w:t> </w:t>
      </w:r>
      <w:r>
        <w:rPr>
          <w:sz w:val="24"/>
        </w:rPr>
        <w:t>eftersyn</w:t>
      </w:r>
    </w:p>
    <w:p>
      <w:pPr>
        <w:pStyle w:val="BodyText"/>
        <w:spacing w:before="11"/>
        <w:rPr>
          <w:sz w:val="22"/>
        </w:rPr>
      </w:pPr>
    </w:p>
    <w:p>
      <w:pPr>
        <w:pStyle w:val="ListParagraph"/>
        <w:numPr>
          <w:ilvl w:val="1"/>
          <w:numId w:val="4"/>
        </w:numPr>
        <w:tabs>
          <w:tab w:pos="878" w:val="left" w:leader="none"/>
          <w:tab w:pos="879" w:val="left" w:leader="none"/>
        </w:tabs>
        <w:spacing w:line="240" w:lineRule="auto" w:before="0" w:after="0"/>
        <w:ind w:left="878" w:right="319" w:hanging="706"/>
        <w:jc w:val="left"/>
        <w:rPr>
          <w:sz w:val="24"/>
        </w:rPr>
      </w:pPr>
      <w:r>
        <w:rPr>
          <w:sz w:val="24"/>
        </w:rPr>
        <w:t>Totalrådgiverydelsen omfatter tillige varetagelse af de pligter og opgaver, som påhviler bygherren, jf. Arbejdsmiljølov nr. 1072 af 07-09-2010 og jf. Bek. om bygherrens pligter</w:t>
      </w:r>
      <w:r>
        <w:rPr>
          <w:spacing w:val="-17"/>
          <w:sz w:val="24"/>
        </w:rPr>
        <w:t> </w:t>
      </w:r>
      <w:r>
        <w:rPr>
          <w:sz w:val="24"/>
        </w:rPr>
        <w:t>nr. 110 af 5. februar 2013. Esbjerg kommunes ”Paradigme for sikkerhed og sundhed på Kommunale Byggerier” skal</w:t>
      </w:r>
      <w:r>
        <w:rPr>
          <w:spacing w:val="-1"/>
          <w:sz w:val="24"/>
        </w:rPr>
        <w:t> </w:t>
      </w:r>
      <w:r>
        <w:rPr>
          <w:sz w:val="24"/>
        </w:rPr>
        <w:t>anvendes.</w:t>
      </w:r>
    </w:p>
    <w:p>
      <w:pPr>
        <w:pStyle w:val="BodyText"/>
      </w:pPr>
    </w:p>
    <w:p>
      <w:pPr>
        <w:pStyle w:val="BodyText"/>
        <w:ind w:left="878" w:right="181"/>
      </w:pPr>
      <w:r>
        <w:rPr/>
        <w:t>Til varetagelse af sikkerhedskoordineringen skal totalrådgiveren stille en person til rådighed, som har:</w:t>
      </w:r>
    </w:p>
    <w:p>
      <w:pPr>
        <w:pStyle w:val="ListParagraph"/>
        <w:numPr>
          <w:ilvl w:val="0"/>
          <w:numId w:val="5"/>
        </w:numPr>
        <w:tabs>
          <w:tab w:pos="1122" w:val="left" w:leader="none"/>
        </w:tabs>
        <w:spacing w:line="240" w:lineRule="auto" w:before="0" w:after="0"/>
        <w:ind w:left="1166" w:right="734" w:hanging="285"/>
        <w:jc w:val="left"/>
        <w:rPr>
          <w:sz w:val="24"/>
        </w:rPr>
      </w:pPr>
      <w:r>
        <w:rPr>
          <w:sz w:val="24"/>
        </w:rPr>
        <w:t>Sagkyndig ekspertise på bygge- og anlægsområdet, herunder kendskab til byggeriets aktører</w:t>
      </w:r>
    </w:p>
    <w:p>
      <w:pPr>
        <w:pStyle w:val="ListParagraph"/>
        <w:numPr>
          <w:ilvl w:val="0"/>
          <w:numId w:val="5"/>
        </w:numPr>
        <w:tabs>
          <w:tab w:pos="1122" w:val="left" w:leader="none"/>
        </w:tabs>
        <w:spacing w:line="240" w:lineRule="auto" w:before="1" w:after="0"/>
        <w:ind w:left="1121" w:right="0" w:hanging="240"/>
        <w:jc w:val="left"/>
        <w:rPr>
          <w:sz w:val="24"/>
        </w:rPr>
      </w:pPr>
      <w:r>
        <w:rPr>
          <w:sz w:val="24"/>
        </w:rPr>
        <w:t>Praktisk erfaring i ledelse af et bygge- og</w:t>
      </w:r>
      <w:r>
        <w:rPr>
          <w:spacing w:val="-9"/>
          <w:sz w:val="24"/>
        </w:rPr>
        <w:t> </w:t>
      </w:r>
      <w:r>
        <w:rPr>
          <w:sz w:val="24"/>
        </w:rPr>
        <w:t>anlægsarbejde</w:t>
      </w:r>
    </w:p>
    <w:p>
      <w:pPr>
        <w:pStyle w:val="ListParagraph"/>
        <w:numPr>
          <w:ilvl w:val="0"/>
          <w:numId w:val="5"/>
        </w:numPr>
        <w:tabs>
          <w:tab w:pos="1122" w:val="left" w:leader="none"/>
        </w:tabs>
        <w:spacing w:line="240" w:lineRule="auto" w:before="0" w:after="0"/>
        <w:ind w:left="1121" w:right="0" w:hanging="240"/>
        <w:jc w:val="left"/>
        <w:rPr>
          <w:sz w:val="24"/>
        </w:rPr>
      </w:pPr>
      <w:r>
        <w:rPr>
          <w:sz w:val="24"/>
        </w:rPr>
        <w:t>Den fornødne viden om sikkerheds- og sundhedsmæssige</w:t>
      </w:r>
      <w:r>
        <w:rPr>
          <w:spacing w:val="-10"/>
          <w:sz w:val="24"/>
        </w:rPr>
        <w:t> </w:t>
      </w:r>
      <w:r>
        <w:rPr>
          <w:sz w:val="24"/>
        </w:rPr>
        <w:t>spørgsmål</w:t>
      </w:r>
    </w:p>
    <w:p>
      <w:pPr>
        <w:pStyle w:val="ListParagraph"/>
        <w:numPr>
          <w:ilvl w:val="0"/>
          <w:numId w:val="5"/>
        </w:numPr>
        <w:tabs>
          <w:tab w:pos="1122" w:val="left" w:leader="none"/>
        </w:tabs>
        <w:spacing w:line="240" w:lineRule="auto" w:before="0" w:after="0"/>
        <w:ind w:left="1121" w:right="0" w:hanging="240"/>
        <w:jc w:val="left"/>
        <w:rPr>
          <w:sz w:val="24"/>
        </w:rPr>
      </w:pPr>
      <w:r>
        <w:rPr>
          <w:sz w:val="24"/>
        </w:rPr>
        <w:t>Gennemført</w:t>
      </w:r>
      <w:r>
        <w:rPr>
          <w:spacing w:val="1"/>
          <w:sz w:val="24"/>
        </w:rPr>
        <w:t> </w:t>
      </w:r>
      <w:r>
        <w:rPr>
          <w:sz w:val="24"/>
        </w:rPr>
        <w:t>arbejdsmiljøuddannelsen</w:t>
      </w:r>
    </w:p>
    <w:p>
      <w:pPr>
        <w:pStyle w:val="BodyText"/>
        <w:spacing w:before="11"/>
        <w:rPr>
          <w:sz w:val="23"/>
        </w:rPr>
      </w:pPr>
    </w:p>
    <w:p>
      <w:pPr>
        <w:pStyle w:val="ListParagraph"/>
        <w:numPr>
          <w:ilvl w:val="1"/>
          <w:numId w:val="4"/>
        </w:numPr>
        <w:tabs>
          <w:tab w:pos="881" w:val="left" w:leader="none"/>
          <w:tab w:pos="882" w:val="left" w:leader="none"/>
        </w:tabs>
        <w:spacing w:line="240" w:lineRule="auto" w:before="0" w:after="0"/>
        <w:ind w:left="881" w:right="1695" w:hanging="709"/>
        <w:jc w:val="left"/>
        <w:rPr>
          <w:sz w:val="24"/>
        </w:rPr>
      </w:pPr>
      <w:r>
        <w:rPr>
          <w:sz w:val="24"/>
        </w:rPr>
        <w:t>Aftalen kan ligeledes ved klientens skriftlige bestilling udvides til at omfatte: Ydelser i øvrigt, på de i nærværende aftale fastsatte</w:t>
      </w:r>
      <w:r>
        <w:rPr>
          <w:spacing w:val="-7"/>
          <w:sz w:val="24"/>
        </w:rPr>
        <w:t> </w:t>
      </w:r>
      <w:r>
        <w:rPr>
          <w:sz w:val="24"/>
        </w:rPr>
        <w:t>vilkår.</w:t>
      </w:r>
    </w:p>
    <w:p>
      <w:pPr>
        <w:pStyle w:val="BodyText"/>
        <w:ind w:left="881" w:right="186"/>
      </w:pPr>
      <w:r>
        <w:rPr/>
        <w:t>Såfremt rådgiveren igangsætter en fase eller ydelse uden klientens godkendelse, sker dette for rådgiverens regning.</w:t>
      </w:r>
    </w:p>
    <w:p>
      <w:pPr>
        <w:pStyle w:val="BodyText"/>
        <w:spacing w:before="3"/>
        <w:rPr>
          <w:sz w:val="16"/>
        </w:rPr>
      </w:pPr>
    </w:p>
    <w:p>
      <w:pPr>
        <w:pStyle w:val="ListParagraph"/>
        <w:numPr>
          <w:ilvl w:val="1"/>
          <w:numId w:val="4"/>
        </w:numPr>
        <w:tabs>
          <w:tab w:pos="474" w:val="left" w:leader="none"/>
        </w:tabs>
        <w:spacing w:line="240" w:lineRule="auto" w:before="90" w:after="0"/>
        <w:ind w:left="473" w:right="0" w:hanging="301"/>
        <w:jc w:val="left"/>
        <w:rPr>
          <w:sz w:val="24"/>
        </w:rPr>
      </w:pPr>
    </w:p>
    <w:p>
      <w:pPr>
        <w:pStyle w:val="BodyText"/>
        <w:ind w:left="881" w:right="277"/>
      </w:pPr>
      <w:r>
        <w:rPr/>
        <w:t>Bekendtgørelse nr. 477 af 18.05.2011 om bygge- og anlægsarbejder i perioden 1. november til 31. marts med tilhørende vejledning.</w:t>
      </w:r>
    </w:p>
    <w:p>
      <w:pPr>
        <w:spacing w:after="0"/>
        <w:sectPr>
          <w:pgSz w:w="11910" w:h="16850"/>
          <w:pgMar w:header="0" w:footer="679" w:top="1600" w:bottom="880" w:left="960" w:right="960"/>
        </w:sectPr>
      </w:pPr>
    </w:p>
    <w:p>
      <w:pPr>
        <w:pStyle w:val="BodyText"/>
        <w:spacing w:before="107"/>
        <w:ind w:left="881" w:right="956"/>
      </w:pPr>
      <w:r>
        <w:rPr/>
        <w:t>Bekendtgørelse nr. 1226 af 14.12.2011, kapitel 8 om driftsbudget og totaløkonomisk vurdering samt § 38 stk. 2 om plan for styring af logistik på byggepladsen.</w:t>
      </w:r>
    </w:p>
    <w:p>
      <w:pPr>
        <w:pStyle w:val="BodyText"/>
      </w:pPr>
    </w:p>
    <w:p>
      <w:pPr>
        <w:pStyle w:val="BodyText"/>
        <w:ind w:left="881" w:right="417"/>
      </w:pPr>
      <w:r>
        <w:rPr/>
        <w:t>Bekendtgørelse nr. 110 af 05.02.2013 om projekterendes og rådgiveres pligt m.v. efter lov om arbejdsmiljø.</w:t>
      </w:r>
    </w:p>
    <w:p>
      <w:pPr>
        <w:pStyle w:val="BodyText"/>
      </w:pPr>
    </w:p>
    <w:p>
      <w:pPr>
        <w:pStyle w:val="BodyText"/>
        <w:ind w:left="878" w:right="1286"/>
      </w:pPr>
      <w:r>
        <w:rPr/>
        <w:t>Bekendtgørelse nr. 117 af 05.02.2013 om Bygherrens pligter. Esbjerg kommunes ”Paradigme for sikkerhed og sundhed på Kommunale Byggerier” skal anvendes.</w:t>
      </w:r>
    </w:p>
    <w:p>
      <w:pPr>
        <w:pStyle w:val="BodyText"/>
        <w:rPr>
          <w:sz w:val="26"/>
        </w:rPr>
      </w:pPr>
    </w:p>
    <w:p>
      <w:pPr>
        <w:pStyle w:val="BodyText"/>
        <w:rPr>
          <w:sz w:val="22"/>
        </w:rPr>
      </w:pPr>
    </w:p>
    <w:p>
      <w:pPr>
        <w:pStyle w:val="BodyText"/>
        <w:ind w:left="881" w:right="817"/>
      </w:pPr>
      <w:r>
        <w:rPr/>
        <w:t>Cirkulære nr. 174 af 10.10.1991 og cirkulære nr. 9784 af 28.11.2003 om pris og tid på bygge- og anlægsarbejder m.v.</w:t>
      </w: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31" w:after="0"/>
        <w:ind w:left="893" w:right="0" w:hanging="721"/>
        <w:jc w:val="left"/>
      </w:pPr>
      <w:r>
        <w:rPr/>
        <w:t>Klientens</w:t>
      </w:r>
      <w:r>
        <w:rPr>
          <w:spacing w:val="-2"/>
        </w:rPr>
        <w:t> </w:t>
      </w:r>
      <w:r>
        <w:rPr/>
        <w:t>ydelser</w:t>
      </w:r>
    </w:p>
    <w:p>
      <w:pPr>
        <w:pStyle w:val="BodyText"/>
        <w:ind w:left="893"/>
      </w:pPr>
      <w:r>
        <w:rPr/>
        <w:t>Udarbejdelse af juridiske dokumenter.</w:t>
      </w:r>
    </w:p>
    <w:p>
      <w:pPr>
        <w:pStyle w:val="BodyText"/>
        <w:ind w:left="893" w:right="826"/>
      </w:pPr>
      <w:r>
        <w:rPr/>
        <w:t>Endeligt byggeregnskab (rådgiver udarbejder byggeregnskab under udførelse. Bygge- regnskabet overgives til klienten ved afslutning af byggesagen)</w:t>
      </w: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30" w:after="0"/>
        <w:ind w:left="893" w:right="0" w:hanging="721"/>
        <w:jc w:val="left"/>
      </w:pPr>
      <w:r>
        <w:rPr/>
        <w:t>Tidsfrister</w:t>
      </w:r>
    </w:p>
    <w:p>
      <w:pPr>
        <w:pStyle w:val="ListParagraph"/>
        <w:numPr>
          <w:ilvl w:val="1"/>
          <w:numId w:val="5"/>
        </w:numPr>
        <w:tabs>
          <w:tab w:pos="893" w:val="left" w:leader="none"/>
          <w:tab w:pos="894" w:val="left" w:leader="none"/>
        </w:tabs>
        <w:spacing w:line="240" w:lineRule="auto" w:before="0" w:after="0"/>
        <w:ind w:left="893" w:right="0" w:hanging="721"/>
        <w:jc w:val="left"/>
        <w:rPr>
          <w:sz w:val="24"/>
        </w:rPr>
      </w:pPr>
      <w:r>
        <w:rPr>
          <w:sz w:val="24"/>
        </w:rPr>
        <w:t>Tidsfrister for opgavens</w:t>
      </w:r>
      <w:r>
        <w:rPr>
          <w:spacing w:val="-1"/>
          <w:sz w:val="24"/>
        </w:rPr>
        <w:t> </w:t>
      </w:r>
      <w:r>
        <w:rPr>
          <w:sz w:val="24"/>
        </w:rPr>
        <w:t>løsning:</w:t>
      </w:r>
    </w:p>
    <w:p>
      <w:pPr>
        <w:pStyle w:val="BodyText"/>
        <w:spacing w:before="1"/>
      </w:pPr>
    </w:p>
    <w:p>
      <w:pPr>
        <w:pStyle w:val="BodyText"/>
        <w:ind w:left="893"/>
      </w:pPr>
      <w:r>
        <w:rPr/>
        <w:t>Som bilag til denne aftale er </w:t>
      </w:r>
      <w:r>
        <w:rPr>
          <w:color w:val="FF0000"/>
        </w:rPr>
        <w:t>hovedtidsplan (bilag 1)</w:t>
      </w:r>
    </w:p>
    <w:p>
      <w:pPr>
        <w:pStyle w:val="BodyText"/>
        <w:ind w:left="893"/>
      </w:pPr>
      <w:r>
        <w:rPr/>
        <w:t>Det påhviler rådgiveren at holde planen á jour og være opmærksom på, om forsinkelser må forudses og i bekræftende fald stille forslag til disses indhentning.</w:t>
      </w:r>
    </w:p>
    <w:p>
      <w:pPr>
        <w:pStyle w:val="BodyText"/>
        <w:rPr>
          <w:sz w:val="26"/>
        </w:rPr>
      </w:pPr>
    </w:p>
    <w:p>
      <w:pPr>
        <w:pStyle w:val="BodyText"/>
        <w:rPr>
          <w:sz w:val="26"/>
        </w:rPr>
      </w:pPr>
    </w:p>
    <w:p>
      <w:pPr>
        <w:pStyle w:val="BodyText"/>
        <w:spacing w:before="5"/>
        <w:rPr>
          <w:sz w:val="20"/>
        </w:rPr>
      </w:pPr>
    </w:p>
    <w:p>
      <w:pPr>
        <w:pStyle w:val="Heading2"/>
        <w:numPr>
          <w:ilvl w:val="0"/>
          <w:numId w:val="5"/>
        </w:numPr>
        <w:tabs>
          <w:tab w:pos="893" w:val="left" w:leader="none"/>
          <w:tab w:pos="894" w:val="left" w:leader="none"/>
        </w:tabs>
        <w:spacing w:line="274" w:lineRule="exact" w:before="0" w:after="0"/>
        <w:ind w:left="893" w:right="0" w:hanging="721"/>
        <w:jc w:val="left"/>
      </w:pPr>
      <w:r>
        <w:rPr/>
        <w:t>Økonomisk grundlag for opgavens</w:t>
      </w:r>
      <w:r>
        <w:rPr>
          <w:spacing w:val="-4"/>
        </w:rPr>
        <w:t> </w:t>
      </w:r>
      <w:r>
        <w:rPr/>
        <w:t>løsning.</w:t>
      </w:r>
    </w:p>
    <w:p>
      <w:pPr>
        <w:pStyle w:val="ListParagraph"/>
        <w:numPr>
          <w:ilvl w:val="1"/>
          <w:numId w:val="6"/>
        </w:numPr>
        <w:tabs>
          <w:tab w:pos="893" w:val="left" w:leader="none"/>
          <w:tab w:pos="894" w:val="left" w:leader="none"/>
        </w:tabs>
        <w:spacing w:line="274" w:lineRule="exact" w:before="0" w:after="0"/>
        <w:ind w:left="893" w:right="0" w:hanging="721"/>
        <w:jc w:val="left"/>
        <w:rPr>
          <w:sz w:val="24"/>
        </w:rPr>
      </w:pPr>
      <w:r>
        <w:rPr>
          <w:sz w:val="24"/>
        </w:rPr>
        <w:t>Økonomisk</w:t>
      </w:r>
      <w:r>
        <w:rPr>
          <w:spacing w:val="-1"/>
          <w:sz w:val="24"/>
        </w:rPr>
        <w:t> </w:t>
      </w:r>
      <w:r>
        <w:rPr>
          <w:sz w:val="24"/>
        </w:rPr>
        <w:t>ramme:</w:t>
      </w:r>
    </w:p>
    <w:p>
      <w:pPr>
        <w:pStyle w:val="BodyText"/>
        <w:tabs>
          <w:tab w:pos="5773" w:val="left" w:leader="hyphen"/>
        </w:tabs>
        <w:ind w:left="881"/>
      </w:pPr>
      <w:r>
        <w:rPr/>
        <w:t>Den samlede økonomiske ramme</w:t>
      </w:r>
      <w:r>
        <w:rPr>
          <w:spacing w:val="-6"/>
        </w:rPr>
        <w:t> </w:t>
      </w:r>
      <w:r>
        <w:rPr/>
        <w:t>udgør</w:t>
      </w:r>
      <w:r>
        <w:rPr>
          <w:spacing w:val="-2"/>
        </w:rPr>
        <w:t> </w:t>
      </w:r>
      <w:r>
        <w:rPr/>
        <w:t>maks</w:t>
        <w:tab/>
        <w:t>mio. ekskl. Moms i 20</w:t>
      </w:r>
      <w:r>
        <w:rPr>
          <w:color w:val="FF0000"/>
        </w:rPr>
        <w:t>17</w:t>
      </w:r>
      <w:r>
        <w:rPr/>
        <w:t>-priser.</w:t>
      </w:r>
      <w:r>
        <w:rPr>
          <w:spacing w:val="-4"/>
        </w:rPr>
        <w:t> </w:t>
      </w:r>
      <w:r>
        <w:rPr/>
        <w:t>Samtlige</w:t>
      </w:r>
    </w:p>
    <w:p>
      <w:pPr>
        <w:pStyle w:val="BodyText"/>
        <w:ind w:left="881"/>
      </w:pPr>
      <w:r>
        <w:rPr/>
        <w:t>udgifter i forbindelse med opgavens gennemførelse er indeholdt i den ramme.</w:t>
      </w:r>
    </w:p>
    <w:p>
      <w:pPr>
        <w:pStyle w:val="BodyText"/>
      </w:pPr>
    </w:p>
    <w:p>
      <w:pPr>
        <w:pStyle w:val="BodyText"/>
        <w:ind w:left="881" w:right="1358"/>
      </w:pPr>
      <w:r>
        <w:rPr/>
        <w:t>Totalrådgiver skal gennem hele rådgivningsforløbet medvirke til at sikre , at den økonomiske ramme overholdes.</w:t>
      </w:r>
    </w:p>
    <w:p>
      <w:pPr>
        <w:pStyle w:val="BodyText"/>
      </w:pPr>
    </w:p>
    <w:p>
      <w:pPr>
        <w:pStyle w:val="ListParagraph"/>
        <w:numPr>
          <w:ilvl w:val="1"/>
          <w:numId w:val="6"/>
        </w:numPr>
        <w:tabs>
          <w:tab w:pos="893" w:val="left" w:leader="none"/>
          <w:tab w:pos="894" w:val="left" w:leader="none"/>
        </w:tabs>
        <w:spacing w:line="240" w:lineRule="auto" w:before="0" w:after="0"/>
        <w:ind w:left="893" w:right="0" w:hanging="721"/>
        <w:jc w:val="left"/>
        <w:rPr>
          <w:sz w:val="24"/>
        </w:rPr>
      </w:pPr>
      <w:r>
        <w:rPr>
          <w:sz w:val="24"/>
        </w:rPr>
        <w:t>Overslag/budgetansvar:</w:t>
      </w:r>
    </w:p>
    <w:p>
      <w:pPr>
        <w:pStyle w:val="BodyText"/>
        <w:spacing w:before="1"/>
        <w:ind w:left="893" w:right="246"/>
      </w:pPr>
      <w:r>
        <w:rPr/>
        <w:t>Såfremt den i punkt 7.1 fastlagte regulerede ramme på grund af forhold, som var eller burde være kendt på overslagstidspunktet, ved prisindhentningen viser sig at være overskredet, revideres projektet i et tæt samarbejde mellem klienten og rådgiveren uden vederlag. Jf.</w:t>
      </w:r>
    </w:p>
    <w:p>
      <w:pPr>
        <w:pStyle w:val="BodyText"/>
        <w:ind w:left="893"/>
      </w:pPr>
      <w:r>
        <w:rPr/>
        <w:t>ABR, pkt 2.1.2.</w:t>
      </w:r>
    </w:p>
    <w:p>
      <w:pPr>
        <w:pStyle w:val="BodyText"/>
        <w:rPr>
          <w:sz w:val="26"/>
        </w:rPr>
      </w:pP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07" w:after="0"/>
        <w:ind w:left="893" w:right="0" w:hanging="721"/>
        <w:jc w:val="left"/>
      </w:pPr>
      <w:r>
        <w:rPr/>
        <w:t>Honorar</w:t>
      </w:r>
    </w:p>
    <w:p>
      <w:pPr>
        <w:pStyle w:val="BodyText"/>
        <w:tabs>
          <w:tab w:pos="3497" w:val="left" w:leader="hyphen"/>
        </w:tabs>
        <w:ind w:left="893" w:right="309"/>
      </w:pPr>
      <w:r>
        <w:rPr/>
        <w:t>For ydelser jævnfør aftalens punkt 4.1 – 4.3, hovedprojekt til og med projektopfølgning, er aftalt et fast</w:t>
      </w:r>
      <w:r>
        <w:rPr>
          <w:spacing w:val="-5"/>
        </w:rPr>
        <w:t> </w:t>
      </w:r>
      <w:r>
        <w:rPr/>
        <w:t>honorar</w:t>
      </w:r>
      <w:r>
        <w:rPr>
          <w:spacing w:val="-1"/>
        </w:rPr>
        <w:t> </w:t>
      </w:r>
      <w:r>
        <w:rPr/>
        <w:t>på</w:t>
        <w:tab/>
      </w:r>
      <w:r>
        <w:rPr>
          <w:color w:val="FF0000"/>
        </w:rPr>
        <w:t>,- </w:t>
      </w:r>
      <w:r>
        <w:rPr/>
        <w:t>kr. ekskl. moms. Den procentvise ydelsesfordeling</w:t>
      </w:r>
      <w:r>
        <w:rPr>
          <w:spacing w:val="-17"/>
        </w:rPr>
        <w:t> </w:t>
      </w:r>
      <w:r>
        <w:rPr/>
        <w:t>fastsættes</w:t>
      </w:r>
    </w:p>
    <w:p>
      <w:pPr>
        <w:spacing w:after="0"/>
        <w:sectPr>
          <w:pgSz w:w="11910" w:h="16850"/>
          <w:pgMar w:header="0" w:footer="679" w:top="1600" w:bottom="880" w:left="960" w:right="960"/>
        </w:sectPr>
      </w:pPr>
    </w:p>
    <w:p>
      <w:pPr>
        <w:pStyle w:val="BodyText"/>
        <w:spacing w:before="71"/>
        <w:ind w:left="893" w:right="1119"/>
      </w:pPr>
      <w:r>
        <w:rPr/>
        <w:t>til det i denne aftale under punkt 10.1 anførte. I honoraret er indeholdt vederlag for projekteringsledelsen</w:t>
      </w:r>
    </w:p>
    <w:p>
      <w:pPr>
        <w:pStyle w:val="BodyText"/>
      </w:pPr>
    </w:p>
    <w:p>
      <w:pPr>
        <w:pStyle w:val="ListParagraph"/>
        <w:numPr>
          <w:ilvl w:val="1"/>
          <w:numId w:val="7"/>
        </w:numPr>
        <w:tabs>
          <w:tab w:pos="893" w:val="left" w:leader="none"/>
          <w:tab w:pos="894" w:val="left" w:leader="none"/>
          <w:tab w:pos="2304" w:val="left" w:leader="hyphen"/>
        </w:tabs>
        <w:spacing w:line="240" w:lineRule="auto" w:before="0" w:after="0"/>
        <w:ind w:left="893" w:right="695" w:hanging="721"/>
        <w:jc w:val="left"/>
        <w:rPr>
          <w:sz w:val="24"/>
        </w:rPr>
      </w:pPr>
      <w:r>
        <w:rPr>
          <w:sz w:val="24"/>
        </w:rPr>
        <w:t>For ydelser jævnfør aftalens punkt 4.5 og 4.6, fagtilsyn og byggeledelse, er aftalt et fast honorar</w:t>
      </w:r>
      <w:r>
        <w:rPr>
          <w:spacing w:val="-1"/>
          <w:sz w:val="24"/>
        </w:rPr>
        <w:t> </w:t>
      </w:r>
      <w:r>
        <w:rPr>
          <w:sz w:val="24"/>
        </w:rPr>
        <w:t>på</w:t>
        <w:tab/>
      </w:r>
      <w:r>
        <w:rPr>
          <w:color w:val="FF0000"/>
          <w:sz w:val="24"/>
        </w:rPr>
        <w:t>,- </w:t>
      </w:r>
      <w:r>
        <w:rPr>
          <w:sz w:val="24"/>
        </w:rPr>
        <w:t>kr. ekskl. moms.</w:t>
      </w:r>
    </w:p>
    <w:p>
      <w:pPr>
        <w:pStyle w:val="BodyText"/>
      </w:pPr>
    </w:p>
    <w:p>
      <w:pPr>
        <w:pStyle w:val="ListParagraph"/>
        <w:numPr>
          <w:ilvl w:val="1"/>
          <w:numId w:val="7"/>
        </w:numPr>
        <w:tabs>
          <w:tab w:pos="893" w:val="left" w:leader="none"/>
          <w:tab w:pos="894" w:val="left" w:leader="none"/>
        </w:tabs>
        <w:spacing w:line="240" w:lineRule="auto" w:before="0" w:after="0"/>
        <w:ind w:left="893" w:right="396" w:hanging="721"/>
        <w:jc w:val="left"/>
        <w:rPr>
          <w:sz w:val="24"/>
        </w:rPr>
      </w:pPr>
      <w:r>
        <w:rPr>
          <w:sz w:val="24"/>
        </w:rPr>
        <w:t>For ydelser jævnfør aftalens punkt 4.7, ydelser i øvrigt, beregnes rådgiverens honorar efter regning i henhold til </w:t>
      </w:r>
      <w:r>
        <w:rPr>
          <w:color w:val="FF0000"/>
          <w:sz w:val="24"/>
        </w:rPr>
        <w:t>bilag</w:t>
      </w:r>
      <w:r>
        <w:rPr>
          <w:color w:val="FF0000"/>
          <w:spacing w:val="-6"/>
          <w:sz w:val="24"/>
        </w:rPr>
        <w:t> </w:t>
      </w:r>
      <w:r>
        <w:rPr>
          <w:color w:val="FF0000"/>
          <w:sz w:val="24"/>
        </w:rPr>
        <w:t>3.</w:t>
      </w:r>
    </w:p>
    <w:p>
      <w:pPr>
        <w:pStyle w:val="BodyText"/>
        <w:ind w:left="893"/>
      </w:pPr>
      <w:r>
        <w:rPr/>
        <w:t>Alternativt vil der kunne aftales et fast honorar for den konkrete ydelse.</w:t>
      </w:r>
    </w:p>
    <w:p>
      <w:pPr>
        <w:pStyle w:val="BodyText"/>
        <w:rPr>
          <w:sz w:val="26"/>
        </w:rPr>
      </w:pPr>
    </w:p>
    <w:p>
      <w:pPr>
        <w:pStyle w:val="BodyText"/>
        <w:rPr>
          <w:sz w:val="22"/>
        </w:rPr>
      </w:pPr>
    </w:p>
    <w:p>
      <w:pPr>
        <w:pStyle w:val="ListParagraph"/>
        <w:numPr>
          <w:ilvl w:val="1"/>
          <w:numId w:val="7"/>
        </w:numPr>
        <w:tabs>
          <w:tab w:pos="893" w:val="left" w:leader="none"/>
          <w:tab w:pos="894" w:val="left" w:leader="none"/>
        </w:tabs>
        <w:spacing w:line="240" w:lineRule="auto" w:before="0" w:after="0"/>
        <w:ind w:left="893" w:right="631" w:hanging="721"/>
        <w:jc w:val="left"/>
        <w:rPr>
          <w:sz w:val="24"/>
        </w:rPr>
      </w:pPr>
      <w:r>
        <w:rPr>
          <w:sz w:val="24"/>
        </w:rPr>
        <w:t>Rådgiveren må ikke overskride godkendte overslag, og må ikke lade arbejde udføre, der foranlediger sådanne</w:t>
      </w:r>
      <w:r>
        <w:rPr>
          <w:spacing w:val="-2"/>
          <w:sz w:val="24"/>
        </w:rPr>
        <w:t> </w:t>
      </w:r>
      <w:r>
        <w:rPr>
          <w:sz w:val="24"/>
        </w:rPr>
        <w:t>overskridelser.</w:t>
      </w:r>
    </w:p>
    <w:p>
      <w:pPr>
        <w:pStyle w:val="BodyText"/>
        <w:spacing w:before="1"/>
      </w:pPr>
    </w:p>
    <w:p>
      <w:pPr>
        <w:pStyle w:val="ListParagraph"/>
        <w:numPr>
          <w:ilvl w:val="1"/>
          <w:numId w:val="7"/>
        </w:numPr>
        <w:tabs>
          <w:tab w:pos="893" w:val="left" w:leader="none"/>
          <w:tab w:pos="894" w:val="left" w:leader="none"/>
        </w:tabs>
        <w:spacing w:line="240" w:lineRule="auto" w:before="0" w:after="0"/>
        <w:ind w:left="893" w:right="355" w:hanging="721"/>
        <w:jc w:val="left"/>
        <w:rPr>
          <w:sz w:val="24"/>
        </w:rPr>
      </w:pPr>
      <w:r>
        <w:rPr>
          <w:sz w:val="24"/>
        </w:rPr>
        <w:t>Specifikation af timelønninger (lønudgift) for rådgiveren og dennes medarbejdere på</w:t>
      </w:r>
      <w:r>
        <w:rPr>
          <w:spacing w:val="-24"/>
          <w:sz w:val="24"/>
        </w:rPr>
        <w:t> </w:t>
      </w:r>
      <w:r>
        <w:rPr>
          <w:sz w:val="24"/>
        </w:rPr>
        <w:t>sagen fremgår af </w:t>
      </w:r>
      <w:r>
        <w:rPr>
          <w:color w:val="FF0000"/>
          <w:sz w:val="24"/>
        </w:rPr>
        <w:t>bilag</w:t>
      </w:r>
      <w:r>
        <w:rPr>
          <w:color w:val="FF0000"/>
          <w:spacing w:val="-3"/>
          <w:sz w:val="24"/>
        </w:rPr>
        <w:t> </w:t>
      </w:r>
      <w:r>
        <w:rPr>
          <w:color w:val="FF0000"/>
          <w:sz w:val="24"/>
        </w:rPr>
        <w:t>3.</w:t>
      </w:r>
    </w:p>
    <w:p>
      <w:pPr>
        <w:pStyle w:val="BodyText"/>
        <w:rPr>
          <w:sz w:val="26"/>
        </w:rPr>
      </w:pPr>
    </w:p>
    <w:p>
      <w:pPr>
        <w:pStyle w:val="BodyText"/>
        <w:rPr>
          <w:sz w:val="22"/>
        </w:rPr>
      </w:pPr>
    </w:p>
    <w:p>
      <w:pPr>
        <w:pStyle w:val="Heading2"/>
        <w:numPr>
          <w:ilvl w:val="0"/>
          <w:numId w:val="5"/>
        </w:numPr>
        <w:tabs>
          <w:tab w:pos="893" w:val="left" w:leader="none"/>
          <w:tab w:pos="894" w:val="left" w:leader="none"/>
        </w:tabs>
        <w:spacing w:line="240" w:lineRule="auto" w:before="0" w:after="0"/>
        <w:ind w:left="893" w:right="0" w:hanging="721"/>
        <w:jc w:val="left"/>
      </w:pPr>
      <w:r>
        <w:rPr/>
        <w:t>Udlæg.</w:t>
      </w:r>
    </w:p>
    <w:p>
      <w:pPr>
        <w:pStyle w:val="BodyText"/>
        <w:ind w:left="893" w:right="531"/>
      </w:pPr>
      <w:r>
        <w:rPr/>
        <w:t>De i ABR under punkt 3.2.2.a nævnte rejse- og kørselsudgifter, samt anvendelse af Edb-, Cad-anlæg eller andet elektronisk og teknisk udstyr, herunder skrivning er indeholdt i honoraret jævnfør aftalens punkt 8.1 til 8.2. Interne tryk refunderes ikke af klienten.</w:t>
      </w:r>
    </w:p>
    <w:p>
      <w:pPr>
        <w:pStyle w:val="BodyText"/>
        <w:ind w:left="881" w:right="778" w:firstLine="12"/>
      </w:pPr>
      <w:r>
        <w:rPr/>
        <w:t>Der ydes ikke det i ABR punkt 3.2.3 omhandlede tillæg, da regninger i attesteret stand forudsættes fremsendt til klienten.</w:t>
      </w:r>
    </w:p>
    <w:p>
      <w:pPr>
        <w:pStyle w:val="BodyText"/>
        <w:spacing w:before="1"/>
      </w:pPr>
    </w:p>
    <w:p>
      <w:pPr>
        <w:pStyle w:val="BodyText"/>
        <w:ind w:left="893" w:right="266"/>
      </w:pPr>
      <w:r>
        <w:rPr/>
        <w:t>Porto i forbindelse med evt. supplerende udsendelse af licitationsmateriale godtgøres rådgiveren. Licitationsmateriale m.v. skal mangfoldiggøres på billigste måde efter klientens anvisning</w:t>
      </w: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30" w:after="0"/>
        <w:ind w:left="893" w:right="0" w:hanging="721"/>
        <w:jc w:val="left"/>
      </w:pPr>
      <w:r>
        <w:rPr/>
        <w:t>Udbetaling af honorar og</w:t>
      </w:r>
      <w:r>
        <w:rPr>
          <w:spacing w:val="-3"/>
        </w:rPr>
        <w:t> </w:t>
      </w:r>
      <w:r>
        <w:rPr/>
        <w:t>udlæg.</w:t>
      </w:r>
    </w:p>
    <w:p>
      <w:pPr>
        <w:pStyle w:val="ListParagraph"/>
        <w:numPr>
          <w:ilvl w:val="1"/>
          <w:numId w:val="5"/>
        </w:numPr>
        <w:tabs>
          <w:tab w:pos="893" w:val="left" w:leader="none"/>
          <w:tab w:pos="894" w:val="left" w:leader="none"/>
        </w:tabs>
        <w:spacing w:line="240" w:lineRule="auto" w:before="0" w:after="0"/>
        <w:ind w:left="893" w:right="0" w:hanging="721"/>
        <w:jc w:val="left"/>
        <w:rPr>
          <w:sz w:val="24"/>
        </w:rPr>
      </w:pPr>
      <w:r>
        <w:rPr>
          <w:sz w:val="24"/>
        </w:rPr>
        <w:t>Udbetaling:</w:t>
      </w:r>
    </w:p>
    <w:p>
      <w:pPr>
        <w:pStyle w:val="BodyText"/>
        <w:ind w:left="893" w:right="260"/>
      </w:pPr>
      <w:r>
        <w:rPr/>
        <w:t>Klienten betaler honorar i forhold til det præsterede arbejde og refunderer udlæg. Honoraret jævnfør aftalens punkt 8.1 forfalder til betaling a’conto månedsvis bagud.</w:t>
      </w:r>
    </w:p>
    <w:p>
      <w:pPr>
        <w:pStyle w:val="BodyText"/>
      </w:pPr>
    </w:p>
    <w:p>
      <w:pPr>
        <w:pStyle w:val="BodyText"/>
        <w:ind w:left="893" w:right="439"/>
      </w:pPr>
      <w:r>
        <w:rPr/>
        <w:t>Projektopfølgning, byggeledelse og fagtilsyn udbetales bagud månedsvis, fordelt over byggeperioden tillagt 3 måneder, jf. godkendt rateplan. På regninger skal anføres tidligere udbetalte rater.</w:t>
      </w:r>
    </w:p>
    <w:p>
      <w:pPr>
        <w:pStyle w:val="BodyText"/>
        <w:spacing w:before="1"/>
      </w:pPr>
    </w:p>
    <w:p>
      <w:pPr>
        <w:pStyle w:val="BodyText"/>
        <w:ind w:left="893" w:right="866"/>
      </w:pPr>
      <w:r>
        <w:rPr/>
        <w:t>Ved evt. ændringer i tidsplanen for arbejdets udførelse ændres rateplanen tilsvarende. Honorar for supplerende ydelser afregnes, når ydelsen er udført.</w:t>
      </w:r>
    </w:p>
    <w:p>
      <w:pPr>
        <w:pStyle w:val="BodyText"/>
      </w:pPr>
    </w:p>
    <w:p>
      <w:pPr>
        <w:pStyle w:val="BodyText"/>
        <w:ind w:left="893" w:right="605"/>
      </w:pPr>
      <w:r>
        <w:rPr/>
        <w:t>Ved fremsendelse af udlægsregninger vedlægges den originale dokumentation. Klienten eller dennes revisor har ret til at kontrollere grundlaget for rådgiverens regninger.</w:t>
      </w:r>
    </w:p>
    <w:p>
      <w:pPr>
        <w:pStyle w:val="BodyText"/>
        <w:rPr>
          <w:sz w:val="26"/>
        </w:rPr>
      </w:pP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07" w:after="0"/>
        <w:ind w:left="893" w:right="0" w:hanging="721"/>
        <w:jc w:val="left"/>
      </w:pPr>
      <w:r>
        <w:rPr/>
        <w:t>Ansvar.</w:t>
      </w:r>
    </w:p>
    <w:p>
      <w:pPr>
        <w:pStyle w:val="BodyText"/>
        <w:ind w:left="893" w:right="927"/>
      </w:pPr>
      <w:r>
        <w:rPr/>
        <w:t>Det forhold, at klienten i samarbejdet med rådgiveren normalt repræsenteres af medarbejdere med ekspertise indenfor de aktuelle fagområder, fritager på intet punkt</w:t>
      </w:r>
    </w:p>
    <w:p>
      <w:pPr>
        <w:spacing w:after="0"/>
        <w:sectPr>
          <w:pgSz w:w="11910" w:h="16850"/>
          <w:pgMar w:header="0" w:footer="679" w:top="1360" w:bottom="880" w:left="960" w:right="960"/>
        </w:sectPr>
      </w:pPr>
    </w:p>
    <w:p>
      <w:pPr>
        <w:pStyle w:val="BodyText"/>
        <w:spacing w:before="71"/>
        <w:ind w:left="893"/>
      </w:pPr>
      <w:r>
        <w:rPr/>
        <w:t>rådgiveren for rådgiveransvaret.</w:t>
      </w:r>
    </w:p>
    <w:p>
      <w:pPr>
        <w:pStyle w:val="BodyText"/>
      </w:pPr>
    </w:p>
    <w:p>
      <w:pPr>
        <w:pStyle w:val="BodyText"/>
        <w:ind w:left="881" w:right="291"/>
      </w:pPr>
      <w:r>
        <w:rPr/>
        <w:t>Totalrådgiverens ansvar er begrænset til 2.5 mio. kr. for tingskade/formuetab og 12.5 mio. kr. for personskade. Totalrådgiverens ansvar for tilsyn er, jf. ABR 89, pkt. 6.2.1, er begrænset til 2.5 mio. kr. Er der tale om grov uagtsomhed eller forsæt, hæfter Totalrådgiver uden begrænsning.</w:t>
      </w:r>
    </w:p>
    <w:p>
      <w:pPr>
        <w:pStyle w:val="BodyText"/>
      </w:pPr>
    </w:p>
    <w:p>
      <w:pPr>
        <w:pStyle w:val="BodyText"/>
        <w:ind w:left="881" w:right="225"/>
      </w:pPr>
      <w:r>
        <w:rPr/>
        <w:t>Totalrådgiverens eventuelle ansvar er uafhængig af, om Totalrådgiverens løbende forsikring dækker helt eller delvist.</w:t>
      </w:r>
    </w:p>
    <w:p>
      <w:pPr>
        <w:pStyle w:val="BodyText"/>
        <w:rPr>
          <w:sz w:val="26"/>
        </w:rPr>
      </w:pPr>
    </w:p>
    <w:p>
      <w:pPr>
        <w:pStyle w:val="BodyText"/>
        <w:rPr>
          <w:sz w:val="26"/>
        </w:rPr>
      </w:pPr>
    </w:p>
    <w:p>
      <w:pPr>
        <w:pStyle w:val="Heading2"/>
        <w:numPr>
          <w:ilvl w:val="0"/>
          <w:numId w:val="5"/>
        </w:numPr>
        <w:tabs>
          <w:tab w:pos="893" w:val="left" w:leader="none"/>
          <w:tab w:pos="894" w:val="left" w:leader="none"/>
        </w:tabs>
        <w:spacing w:line="240" w:lineRule="auto" w:before="230" w:after="0"/>
        <w:ind w:left="893" w:right="0" w:hanging="721"/>
        <w:jc w:val="left"/>
      </w:pPr>
      <w:r>
        <w:rPr/>
        <w:t>Forsikring.</w:t>
      </w:r>
    </w:p>
    <w:p>
      <w:pPr>
        <w:pStyle w:val="BodyText"/>
        <w:spacing w:before="1"/>
        <w:ind w:left="893"/>
      </w:pPr>
      <w:r>
        <w:rPr/>
        <w:t>Rådgiveren har tegnet ansvarsforsikring, jvf. vedhæftede kopi af forsikringspolice </w:t>
      </w:r>
      <w:r>
        <w:rPr>
          <w:color w:val="FF0000"/>
        </w:rPr>
        <w:t>(bilag 2).</w:t>
      </w:r>
    </w:p>
    <w:p>
      <w:pPr>
        <w:pStyle w:val="BodyText"/>
      </w:pPr>
    </w:p>
    <w:p>
      <w:pPr>
        <w:pStyle w:val="BodyText"/>
        <w:ind w:left="893" w:right="659"/>
      </w:pPr>
      <w:r>
        <w:rPr/>
        <w:t>Rådgiveren forpligter sig til at opretholde forsikringen med den aftalte skadesdækning i indtil 5 år efter byggeriets aflevering (hele ansvarsperioden) og at underrette klienten, såfremt der opstår forhold, som har væsentlig indflydelse på forsikringsforholdet.</w:t>
      </w:r>
    </w:p>
    <w:p>
      <w:pPr>
        <w:pStyle w:val="BodyText"/>
        <w:rPr>
          <w:sz w:val="26"/>
        </w:rPr>
      </w:pPr>
    </w:p>
    <w:p>
      <w:pPr>
        <w:pStyle w:val="BodyText"/>
        <w:rPr>
          <w:sz w:val="26"/>
        </w:rPr>
      </w:pPr>
    </w:p>
    <w:p>
      <w:pPr>
        <w:pStyle w:val="BodyText"/>
        <w:spacing w:before="7"/>
        <w:rPr>
          <w:sz w:val="20"/>
        </w:rPr>
      </w:pPr>
    </w:p>
    <w:p>
      <w:pPr>
        <w:pStyle w:val="ListParagraph"/>
        <w:numPr>
          <w:ilvl w:val="0"/>
          <w:numId w:val="5"/>
        </w:numPr>
        <w:tabs>
          <w:tab w:pos="893" w:val="left" w:leader="none"/>
          <w:tab w:pos="894" w:val="left" w:leader="none"/>
        </w:tabs>
        <w:spacing w:line="237" w:lineRule="auto" w:before="0" w:after="0"/>
        <w:ind w:left="893" w:right="1355" w:hanging="721"/>
        <w:jc w:val="left"/>
        <w:rPr>
          <w:sz w:val="24"/>
        </w:rPr>
      </w:pPr>
      <w:r>
        <w:rPr>
          <w:b/>
          <w:sz w:val="24"/>
        </w:rPr>
        <w:t>Sociale hensyn i forbindelse med udførelsen af rådgivningsopgaven </w:t>
      </w:r>
      <w:r>
        <w:rPr>
          <w:sz w:val="24"/>
        </w:rPr>
        <w:t>Rådgivereren er ved udførelsen af rådgivningsopgaven forpligtet til at overholde nedenstående bestemmelser vedrørerende sociale</w:t>
      </w:r>
      <w:r>
        <w:rPr>
          <w:spacing w:val="-3"/>
          <w:sz w:val="24"/>
        </w:rPr>
        <w:t> </w:t>
      </w:r>
      <w:r>
        <w:rPr>
          <w:sz w:val="24"/>
        </w:rPr>
        <w:t>hensyn.</w:t>
      </w:r>
    </w:p>
    <w:p>
      <w:pPr>
        <w:pStyle w:val="BodyText"/>
        <w:spacing w:before="2"/>
      </w:pPr>
    </w:p>
    <w:p>
      <w:pPr>
        <w:pStyle w:val="BodyText"/>
        <w:tabs>
          <w:tab w:pos="893" w:val="left" w:leader="none"/>
        </w:tabs>
        <w:ind w:left="172"/>
      </w:pPr>
      <w:r>
        <w:rPr/>
        <w:t>13.1</w:t>
        <w:tab/>
        <w:t>Overholdelse af gældende regler om</w:t>
      </w:r>
      <w:r>
        <w:rPr>
          <w:spacing w:val="-12"/>
        </w:rPr>
        <w:t> </w:t>
      </w:r>
      <w:r>
        <w:rPr/>
        <w:t>arbejdsmiljø</w:t>
      </w:r>
    </w:p>
    <w:p>
      <w:pPr>
        <w:pStyle w:val="BodyText"/>
        <w:ind w:left="893" w:right="1066"/>
      </w:pPr>
      <w:r>
        <w:rPr/>
        <w:t>Rådgiveren skal sikre at arbejdet med udførelsen af rådgivningsopgaven sker under hensyntagen til gældende regler om</w:t>
      </w:r>
      <w:r>
        <w:rPr>
          <w:spacing w:val="-2"/>
        </w:rPr>
        <w:t> </w:t>
      </w:r>
      <w:r>
        <w:rPr/>
        <w:t>arbejdsmiljø.</w:t>
      </w:r>
    </w:p>
    <w:p>
      <w:pPr>
        <w:pStyle w:val="BodyText"/>
      </w:pPr>
    </w:p>
    <w:p>
      <w:pPr>
        <w:pStyle w:val="ListParagraph"/>
        <w:numPr>
          <w:ilvl w:val="0"/>
          <w:numId w:val="8"/>
        </w:numPr>
        <w:tabs>
          <w:tab w:pos="533" w:val="left" w:leader="none"/>
          <w:tab w:pos="893" w:val="left" w:leader="none"/>
        </w:tabs>
        <w:spacing w:line="240" w:lineRule="auto" w:before="0" w:after="0"/>
        <w:ind w:left="532" w:right="0" w:hanging="360"/>
        <w:jc w:val="left"/>
        <w:rPr>
          <w:sz w:val="24"/>
        </w:rPr>
      </w:pPr>
      <w:r>
        <w:rPr>
          <w:sz w:val="24"/>
        </w:rPr>
        <w:t>2</w:t>
        <w:tab/>
        <w:t>Overholdelse af internationale</w:t>
      </w:r>
      <w:r>
        <w:rPr>
          <w:spacing w:val="1"/>
          <w:sz w:val="24"/>
        </w:rPr>
        <w:t> </w:t>
      </w:r>
      <w:r>
        <w:rPr>
          <w:sz w:val="24"/>
        </w:rPr>
        <w:t>konventioner</w:t>
      </w:r>
    </w:p>
    <w:p>
      <w:pPr>
        <w:pStyle w:val="BodyText"/>
      </w:pPr>
    </w:p>
    <w:p>
      <w:pPr>
        <w:pStyle w:val="BodyText"/>
        <w:ind w:left="893" w:right="359"/>
      </w:pPr>
      <w:r>
        <w:rPr/>
        <w:t>Ordregiver forudsætter, at Rådgiveren og dennes underunderleverandører overholder internationale konventioner tiltrådt af Danmark herunder, men ikke begrænset til, følgende grundlæggende ILO-konventioner:</w:t>
      </w:r>
    </w:p>
    <w:p>
      <w:pPr>
        <w:pStyle w:val="BodyText"/>
      </w:pPr>
    </w:p>
    <w:p>
      <w:pPr>
        <w:pStyle w:val="BodyText"/>
        <w:ind w:left="893"/>
      </w:pPr>
      <w:r>
        <w:rPr/>
        <w:t>•Tvangsarbejde (ILO-konvention nr. 29 og 105)</w:t>
      </w:r>
    </w:p>
    <w:p>
      <w:pPr>
        <w:pStyle w:val="ListParagraph"/>
        <w:numPr>
          <w:ilvl w:val="1"/>
          <w:numId w:val="8"/>
        </w:numPr>
        <w:tabs>
          <w:tab w:pos="980" w:val="left" w:leader="none"/>
        </w:tabs>
        <w:spacing w:line="240" w:lineRule="auto" w:before="0" w:after="0"/>
        <w:ind w:left="979" w:right="0" w:hanging="86"/>
        <w:jc w:val="left"/>
        <w:rPr>
          <w:sz w:val="24"/>
        </w:rPr>
      </w:pPr>
      <w:r>
        <w:rPr>
          <w:sz w:val="24"/>
        </w:rPr>
        <w:t>Ingen diskrimination i ansættelsen (ILO-konvention nr. 100 og</w:t>
      </w:r>
      <w:r>
        <w:rPr>
          <w:spacing w:val="-5"/>
          <w:sz w:val="24"/>
        </w:rPr>
        <w:t> </w:t>
      </w:r>
      <w:r>
        <w:rPr>
          <w:sz w:val="24"/>
        </w:rPr>
        <w:t>111)</w:t>
      </w:r>
    </w:p>
    <w:p>
      <w:pPr>
        <w:pStyle w:val="BodyText"/>
        <w:spacing w:before="1"/>
        <w:ind w:left="893" w:right="974"/>
      </w:pPr>
      <w:r>
        <w:rPr/>
        <w:t>•Mindstealder for adgang til beskæftigelse samt forbud mod og omgående indsats til afskaffelse af de værste former for børnearbejde (ILO-konvention nr. 138 og 182)</w:t>
      </w:r>
    </w:p>
    <w:p>
      <w:pPr>
        <w:pStyle w:val="BodyText"/>
        <w:ind w:left="893"/>
      </w:pPr>
      <w:r>
        <w:rPr/>
        <w:t>•Sikkert og sundt arbejdsmiljø (ILO-konvention nr. 155) samt</w:t>
      </w:r>
    </w:p>
    <w:p>
      <w:pPr>
        <w:pStyle w:val="BodyText"/>
        <w:ind w:left="893" w:right="348"/>
      </w:pPr>
      <w:r>
        <w:rPr/>
        <w:t>•Organisationsfrihed og ret til kollektive forhandlinger (ILO-konvention nr. 87, 98 og 135) inden for rammerne af gældende lovgivning.</w:t>
      </w:r>
    </w:p>
    <w:p>
      <w:pPr>
        <w:pStyle w:val="BodyText"/>
      </w:pPr>
    </w:p>
    <w:p>
      <w:pPr>
        <w:pStyle w:val="BodyText"/>
        <w:ind w:left="893" w:right="1126"/>
      </w:pPr>
      <w:r>
        <w:rPr/>
        <w:t>Det forudsættes endvidere, at Rådgiveren og dennes underleverandører respekterer grundlæggende menneskerettigheder, herunder lever op til FN’s Menneskerettighedserklæring og Den Europæiske Menneskerettighedskonvention.</w:t>
      </w:r>
    </w:p>
    <w:p>
      <w:pPr>
        <w:pStyle w:val="BodyText"/>
      </w:pPr>
    </w:p>
    <w:p>
      <w:pPr>
        <w:pStyle w:val="BodyText"/>
        <w:ind w:left="893" w:right="187"/>
      </w:pPr>
      <w:r>
        <w:rPr/>
        <w:t>Såfremt ordregiver bliver bekendt med, at Rådgiveren og dennes underleverandører ikke lever op til foranstående bestemmelser, er Rådgiveren forpligtet til at opfylde aftalen med en tilsvarende leverance, som opfylder aftalens krav til leverancen. Entreprenørens eventuelle omkostninger forbundet hermed, er ordregiver uvedkommende.</w:t>
      </w:r>
    </w:p>
    <w:p>
      <w:pPr>
        <w:spacing w:after="0"/>
        <w:sectPr>
          <w:pgSz w:w="11910" w:h="16850"/>
          <w:pgMar w:header="0" w:footer="679" w:top="1360" w:bottom="880" w:left="960" w:right="960"/>
        </w:sectPr>
      </w:pPr>
    </w:p>
    <w:p>
      <w:pPr>
        <w:pStyle w:val="ListParagraph"/>
        <w:numPr>
          <w:ilvl w:val="0"/>
          <w:numId w:val="9"/>
        </w:numPr>
        <w:tabs>
          <w:tab w:pos="533" w:val="left" w:leader="none"/>
          <w:tab w:pos="893" w:val="left" w:leader="none"/>
        </w:tabs>
        <w:spacing w:line="240" w:lineRule="auto" w:before="71" w:after="0"/>
        <w:ind w:left="532" w:right="0" w:hanging="360"/>
        <w:jc w:val="left"/>
        <w:rPr>
          <w:sz w:val="24"/>
        </w:rPr>
      </w:pPr>
      <w:r>
        <w:rPr>
          <w:sz w:val="24"/>
        </w:rPr>
        <w:t>3</w:t>
        <w:tab/>
        <w:t>Klausul on løn- og</w:t>
      </w:r>
      <w:r>
        <w:rPr>
          <w:spacing w:val="-3"/>
          <w:sz w:val="24"/>
        </w:rPr>
        <w:t> </w:t>
      </w:r>
      <w:r>
        <w:rPr>
          <w:sz w:val="24"/>
        </w:rPr>
        <w:t>ansættelsesvilkår</w:t>
      </w:r>
    </w:p>
    <w:p>
      <w:pPr>
        <w:pStyle w:val="BodyText"/>
        <w:ind w:left="893"/>
      </w:pPr>
      <w:r>
        <w:rPr/>
        <w:t>Rådgiveren er forpligtet til at overholde kontraktens bilag 7.</w:t>
      </w:r>
    </w:p>
    <w:p>
      <w:pPr>
        <w:pStyle w:val="BodyText"/>
      </w:pPr>
    </w:p>
    <w:p>
      <w:pPr>
        <w:pStyle w:val="Heading2"/>
        <w:numPr>
          <w:ilvl w:val="0"/>
          <w:numId w:val="9"/>
        </w:numPr>
        <w:tabs>
          <w:tab w:pos="893" w:val="left" w:leader="none"/>
          <w:tab w:pos="894" w:val="left" w:leader="none"/>
        </w:tabs>
        <w:spacing w:line="240" w:lineRule="auto" w:before="0" w:after="0"/>
        <w:ind w:left="893" w:right="0" w:hanging="721"/>
        <w:jc w:val="left"/>
      </w:pPr>
      <w:r>
        <w:rPr/>
        <w:t>Tvister.</w:t>
      </w:r>
    </w:p>
    <w:p>
      <w:pPr>
        <w:pStyle w:val="BodyText"/>
        <w:ind w:left="881" w:right="631"/>
      </w:pPr>
      <w:r>
        <w:rPr/>
        <w:t>Eventuelle tvister om denne aftales forståelse eller om ydelser udført i henhold til denne aftale afgøres af Voldgiftsnævnet for Bygge- og Anlægsvirksomhed, jf. AB 92, i oversensstemmelse med ABR 89´s almindelige bestemmelser.</w:t>
      </w:r>
    </w:p>
    <w:p>
      <w:pPr>
        <w:pStyle w:val="BodyText"/>
        <w:rPr>
          <w:sz w:val="26"/>
        </w:rPr>
      </w:pPr>
    </w:p>
    <w:p>
      <w:pPr>
        <w:pStyle w:val="BodyText"/>
        <w:rPr>
          <w:sz w:val="26"/>
        </w:rPr>
      </w:pPr>
    </w:p>
    <w:p>
      <w:pPr>
        <w:pStyle w:val="Heading2"/>
        <w:numPr>
          <w:ilvl w:val="0"/>
          <w:numId w:val="9"/>
        </w:numPr>
        <w:tabs>
          <w:tab w:pos="893" w:val="left" w:leader="none"/>
          <w:tab w:pos="894" w:val="left" w:leader="none"/>
        </w:tabs>
        <w:spacing w:line="240" w:lineRule="auto" w:before="230" w:after="0"/>
        <w:ind w:left="893" w:right="0" w:hanging="721"/>
        <w:jc w:val="left"/>
      </w:pPr>
      <w:r>
        <w:rPr/>
        <w:t>Særlige</w:t>
      </w:r>
      <w:r>
        <w:rPr>
          <w:spacing w:val="-2"/>
        </w:rPr>
        <w:t> </w:t>
      </w:r>
      <w:r>
        <w:rPr/>
        <w:t>bestemmelser.</w:t>
      </w:r>
    </w:p>
    <w:p>
      <w:pPr>
        <w:pStyle w:val="BodyText"/>
        <w:tabs>
          <w:tab w:pos="893" w:val="left" w:leader="none"/>
        </w:tabs>
        <w:ind w:left="893" w:right="221" w:hanging="721"/>
      </w:pPr>
      <w:r>
        <w:rPr/>
        <w:t>15. 1</w:t>
        <w:tab/>
        <w:t>Rådgiver planlægger sikkerheds- og sundhedsarbejdet og udarbejder plan for byggepladsens sikkerhed og</w:t>
      </w:r>
      <w:r>
        <w:rPr>
          <w:spacing w:val="-4"/>
        </w:rPr>
        <w:t> </w:t>
      </w:r>
      <w:r>
        <w:rPr/>
        <w:t>sundhed.</w:t>
      </w:r>
    </w:p>
    <w:p>
      <w:pPr>
        <w:pStyle w:val="BodyText"/>
        <w:spacing w:before="1"/>
      </w:pPr>
    </w:p>
    <w:p>
      <w:pPr>
        <w:pStyle w:val="BodyText"/>
        <w:ind w:left="893" w:right="546"/>
      </w:pPr>
      <w:r>
        <w:rPr/>
        <w:t>Rådgiveren varetager på bygherrens vegne planlægning, afgrænsning, koordinering samt øvrige forpligtelser i forbindelse med sikkerheds- og sundhedsarbejdet i henhold til Arbejdsministeriets seneste bekendtgørelse, såfremt aftalen udvides til at omfatte udførelsesfasen.</w:t>
      </w:r>
    </w:p>
    <w:p>
      <w:pPr>
        <w:pStyle w:val="BodyText"/>
      </w:pPr>
    </w:p>
    <w:p>
      <w:pPr>
        <w:pStyle w:val="ListParagraph"/>
        <w:numPr>
          <w:ilvl w:val="0"/>
          <w:numId w:val="10"/>
        </w:numPr>
        <w:tabs>
          <w:tab w:pos="533" w:val="left" w:leader="none"/>
          <w:tab w:pos="893" w:val="left" w:leader="none"/>
        </w:tabs>
        <w:spacing w:line="240" w:lineRule="auto" w:before="0" w:after="0"/>
        <w:ind w:left="893" w:right="204" w:hanging="721"/>
        <w:jc w:val="left"/>
        <w:rPr>
          <w:sz w:val="24"/>
        </w:rPr>
      </w:pPr>
      <w:r>
        <w:rPr>
          <w:sz w:val="24"/>
        </w:rPr>
        <w:t>2</w:t>
        <w:tab/>
        <w:t>Aftaler om ydelsesændringer fra rådgiver eller entreprenørers side kan kun ske ved klientens skriftlige godkendelse.</w:t>
      </w:r>
    </w:p>
    <w:p>
      <w:pPr>
        <w:pStyle w:val="BodyText"/>
        <w:rPr>
          <w:sz w:val="26"/>
        </w:rPr>
      </w:pPr>
    </w:p>
    <w:p>
      <w:pPr>
        <w:pStyle w:val="BodyText"/>
        <w:rPr>
          <w:sz w:val="26"/>
        </w:rPr>
      </w:pPr>
    </w:p>
    <w:p>
      <w:pPr>
        <w:pStyle w:val="BodyText"/>
        <w:spacing w:before="5"/>
        <w:rPr>
          <w:sz w:val="20"/>
        </w:rPr>
      </w:pPr>
    </w:p>
    <w:p>
      <w:pPr>
        <w:pStyle w:val="Heading2"/>
        <w:ind w:left="172" w:firstLine="0"/>
      </w:pPr>
      <w:r>
        <w:rPr/>
        <w:t>Til aftalen hører følgende bilag:</w:t>
      </w:r>
    </w:p>
    <w:p>
      <w:pPr>
        <w:pStyle w:val="BodyText"/>
        <w:spacing w:before="7"/>
        <w:rPr>
          <w:b/>
          <w:sz w:val="23"/>
        </w:rPr>
      </w:pPr>
    </w:p>
    <w:p>
      <w:pPr>
        <w:pStyle w:val="ListParagraph"/>
        <w:numPr>
          <w:ilvl w:val="1"/>
          <w:numId w:val="10"/>
        </w:numPr>
        <w:tabs>
          <w:tab w:pos="1253" w:val="left" w:leader="none"/>
          <w:tab w:pos="1254" w:val="left" w:leader="none"/>
        </w:tabs>
        <w:spacing w:line="240" w:lineRule="auto" w:before="0" w:after="0"/>
        <w:ind w:left="1253" w:right="0" w:hanging="720"/>
        <w:jc w:val="left"/>
        <w:rPr>
          <w:sz w:val="24"/>
        </w:rPr>
      </w:pPr>
      <w:r>
        <w:rPr>
          <w:sz w:val="24"/>
        </w:rPr>
        <w:t>Hovedtidsplan dateret .</w:t>
      </w:r>
      <w:r>
        <w:rPr>
          <w:spacing w:val="-1"/>
          <w:sz w:val="24"/>
        </w:rPr>
        <w:t> </w:t>
      </w:r>
      <w:r>
        <w:rPr>
          <w:color w:val="FF0000"/>
          <w:sz w:val="24"/>
        </w:rPr>
        <w:t>23.06.2015</w:t>
      </w:r>
    </w:p>
    <w:p>
      <w:pPr>
        <w:pStyle w:val="ListParagraph"/>
        <w:numPr>
          <w:ilvl w:val="1"/>
          <w:numId w:val="10"/>
        </w:numPr>
        <w:tabs>
          <w:tab w:pos="1253" w:val="left" w:leader="none"/>
          <w:tab w:pos="1254" w:val="left" w:leader="none"/>
        </w:tabs>
        <w:spacing w:line="240" w:lineRule="auto" w:before="0" w:after="0"/>
        <w:ind w:left="1253" w:right="0" w:hanging="720"/>
        <w:jc w:val="left"/>
        <w:rPr>
          <w:sz w:val="24"/>
        </w:rPr>
      </w:pPr>
      <w:r>
        <w:rPr>
          <w:sz w:val="24"/>
        </w:rPr>
        <w:t>Forsikringspolice</w:t>
      </w:r>
    </w:p>
    <w:p>
      <w:pPr>
        <w:pStyle w:val="ListParagraph"/>
        <w:numPr>
          <w:ilvl w:val="1"/>
          <w:numId w:val="10"/>
        </w:numPr>
        <w:tabs>
          <w:tab w:pos="1253" w:val="left" w:leader="none"/>
          <w:tab w:pos="1254" w:val="left" w:leader="none"/>
        </w:tabs>
        <w:spacing w:line="240" w:lineRule="auto" w:before="0" w:after="0"/>
        <w:ind w:left="1253" w:right="0" w:hanging="720"/>
        <w:jc w:val="left"/>
        <w:rPr>
          <w:sz w:val="24"/>
        </w:rPr>
      </w:pPr>
      <w:r>
        <w:rPr>
          <w:sz w:val="24"/>
        </w:rPr>
        <w:t>Specifikation af</w:t>
      </w:r>
      <w:r>
        <w:rPr>
          <w:spacing w:val="-1"/>
          <w:sz w:val="24"/>
        </w:rPr>
        <w:t> </w:t>
      </w:r>
      <w:r>
        <w:rPr>
          <w:sz w:val="24"/>
        </w:rPr>
        <w:t>timelønninger</w:t>
      </w:r>
    </w:p>
    <w:p>
      <w:pPr>
        <w:pStyle w:val="ListParagraph"/>
        <w:numPr>
          <w:ilvl w:val="1"/>
          <w:numId w:val="10"/>
        </w:numPr>
        <w:tabs>
          <w:tab w:pos="1253" w:val="left" w:leader="none"/>
          <w:tab w:pos="1254" w:val="left" w:leader="none"/>
        </w:tabs>
        <w:spacing w:line="240" w:lineRule="auto" w:before="0" w:after="0"/>
        <w:ind w:left="1253" w:right="0" w:hanging="720"/>
        <w:jc w:val="left"/>
        <w:rPr>
          <w:sz w:val="24"/>
        </w:rPr>
      </w:pPr>
      <w:r>
        <w:rPr>
          <w:sz w:val="24"/>
        </w:rPr>
        <w:t>IKT-specifikation</w:t>
      </w:r>
    </w:p>
    <w:p>
      <w:pPr>
        <w:pStyle w:val="ListParagraph"/>
        <w:numPr>
          <w:ilvl w:val="1"/>
          <w:numId w:val="10"/>
        </w:numPr>
        <w:tabs>
          <w:tab w:pos="1253" w:val="left" w:leader="none"/>
          <w:tab w:pos="1254" w:val="left" w:leader="none"/>
        </w:tabs>
        <w:spacing w:line="240" w:lineRule="auto" w:before="0" w:after="0"/>
        <w:ind w:left="1253" w:right="0" w:hanging="720"/>
        <w:jc w:val="left"/>
        <w:rPr>
          <w:color w:val="FF0000"/>
          <w:sz w:val="24"/>
        </w:rPr>
      </w:pPr>
      <w:r>
        <w:rPr>
          <w:color w:val="FF0000"/>
          <w:sz w:val="24"/>
        </w:rPr>
        <w:t>Bygherres skitseforslag</w:t>
      </w:r>
      <w:r>
        <w:rPr>
          <w:color w:val="FF0000"/>
          <w:spacing w:val="-3"/>
          <w:sz w:val="24"/>
        </w:rPr>
        <w:t> </w:t>
      </w:r>
      <w:r>
        <w:rPr>
          <w:color w:val="FF0000"/>
          <w:sz w:val="24"/>
        </w:rPr>
        <w:t>(tegning)</w:t>
      </w:r>
    </w:p>
    <w:p>
      <w:pPr>
        <w:pStyle w:val="ListParagraph"/>
        <w:numPr>
          <w:ilvl w:val="1"/>
          <w:numId w:val="10"/>
        </w:numPr>
        <w:tabs>
          <w:tab w:pos="1253" w:val="left" w:leader="none"/>
          <w:tab w:pos="1254" w:val="left" w:leader="none"/>
        </w:tabs>
        <w:spacing w:line="240" w:lineRule="auto" w:before="0" w:after="0"/>
        <w:ind w:left="1253" w:right="0" w:hanging="720"/>
        <w:jc w:val="left"/>
        <w:rPr>
          <w:color w:val="FF0000"/>
          <w:sz w:val="24"/>
        </w:rPr>
      </w:pPr>
      <w:r>
        <w:rPr>
          <w:color w:val="FF0000"/>
          <w:sz w:val="24"/>
        </w:rPr>
        <w:t>Bygherre ideoplæg/Byggeprogram</w:t>
      </w:r>
      <w:r>
        <w:rPr>
          <w:color w:val="FF0000"/>
          <w:spacing w:val="58"/>
          <w:sz w:val="24"/>
        </w:rPr>
        <w:t> </w:t>
      </w:r>
      <w:r>
        <w:rPr>
          <w:color w:val="FF0000"/>
          <w:sz w:val="24"/>
        </w:rPr>
        <w:t>(tekst)</w:t>
      </w:r>
    </w:p>
    <w:p>
      <w:pPr>
        <w:pStyle w:val="ListParagraph"/>
        <w:numPr>
          <w:ilvl w:val="1"/>
          <w:numId w:val="10"/>
        </w:numPr>
        <w:tabs>
          <w:tab w:pos="1253" w:val="left" w:leader="none"/>
          <w:tab w:pos="1254" w:val="left" w:leader="none"/>
        </w:tabs>
        <w:spacing w:line="240" w:lineRule="auto" w:before="0" w:after="0"/>
        <w:ind w:left="1253" w:right="0" w:hanging="720"/>
        <w:jc w:val="left"/>
        <w:rPr>
          <w:sz w:val="24"/>
        </w:rPr>
      </w:pPr>
      <w:r>
        <w:rPr>
          <w:sz w:val="24"/>
        </w:rPr>
        <w:t>Arbejdsklausul vedrørende varetagelse af sociale hensyn</w:t>
      </w:r>
    </w:p>
    <w:p>
      <w:pPr>
        <w:pStyle w:val="BodyText"/>
        <w:rPr>
          <w:sz w:val="26"/>
        </w:rPr>
      </w:pPr>
    </w:p>
    <w:p>
      <w:pPr>
        <w:pStyle w:val="BodyText"/>
        <w:rPr>
          <w:sz w:val="26"/>
        </w:rPr>
      </w:pPr>
    </w:p>
    <w:p>
      <w:pPr>
        <w:pStyle w:val="BodyText"/>
        <w:rPr>
          <w:sz w:val="26"/>
        </w:rPr>
      </w:pPr>
    </w:p>
    <w:p>
      <w:pPr>
        <w:pStyle w:val="BodyText"/>
        <w:tabs>
          <w:tab w:pos="5276" w:val="left" w:leader="none"/>
        </w:tabs>
        <w:spacing w:before="208"/>
        <w:ind w:left="172"/>
      </w:pPr>
      <w:r>
        <w:rPr/>
        <w:t>Esbjerg</w:t>
      </w:r>
      <w:r>
        <w:rPr>
          <w:spacing w:val="-4"/>
        </w:rPr>
        <w:t> </w:t>
      </w:r>
      <w:r>
        <w:rPr/>
        <w:t>,</w:t>
      </w:r>
      <w:r>
        <w:rPr>
          <w:spacing w:val="1"/>
        </w:rPr>
        <w:t> </w:t>
      </w:r>
      <w:r>
        <w:rPr/>
        <w:t>den</w:t>
        <w:tab/>
        <w:t>Esbjerg,</w:t>
      </w:r>
      <w:r>
        <w:rPr>
          <w:spacing w:val="2"/>
        </w:rPr>
        <w:t> </w:t>
      </w:r>
      <w:r>
        <w:rPr/>
        <w:t>den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line style="position:absolute;mso-position-horizontal-relative:page;mso-position-vertical-relative:paragraph;z-index:-1000;mso-wrap-distance-left:0;mso-wrap-distance-right:0" from="56.639999pt,8.983537pt" to="254.640009pt,8.983537pt" stroked="true" strokeweight=".48pt" strokecolor="#000000">
            <v:stroke dashstyle="solid"/>
            <w10:wrap type="topAndBottom"/>
          </v:line>
        </w:pict>
      </w:r>
      <w:r>
        <w:rPr/>
        <w:pict>
          <v:line style="position:absolute;mso-position-horizontal-relative:page;mso-position-vertical-relative:paragraph;z-index:-976;mso-wrap-distance-left:0;mso-wrap-distance-right:0" from="311.809998pt,8.983537pt" to="521.809998pt,8.983537pt" stroked="true" strokeweight=".48pt" strokecolor="#000000">
            <v:stroke dashstyle="solid"/>
            <w10:wrap type="topAndBottom"/>
          </v:line>
        </w:pict>
      </w:r>
    </w:p>
    <w:p>
      <w:pPr>
        <w:pStyle w:val="BodyText"/>
        <w:tabs>
          <w:tab w:pos="5276" w:val="left" w:leader="none"/>
        </w:tabs>
        <w:spacing w:line="247" w:lineRule="exact"/>
        <w:ind w:left="172"/>
      </w:pPr>
      <w:r>
        <w:rPr/>
        <w:t>Rådgiver</w:t>
        <w:tab/>
        <w:t>Klient</w:t>
      </w:r>
    </w:p>
    <w:p>
      <w:pPr>
        <w:spacing w:after="0" w:line="247" w:lineRule="exact"/>
        <w:sectPr>
          <w:pgSz w:w="11910" w:h="16850"/>
          <w:pgMar w:header="0" w:footer="679" w:top="1360" w:bottom="880" w:left="960" w:right="960"/>
        </w:sectPr>
      </w:pPr>
    </w:p>
    <w:p>
      <w:pPr>
        <w:spacing w:before="76"/>
        <w:ind w:left="172" w:right="0" w:firstLine="0"/>
        <w:jc w:val="left"/>
        <w:rPr>
          <w:rFonts w:ascii="Verdana"/>
          <w:b/>
          <w:sz w:val="28"/>
        </w:rPr>
      </w:pPr>
      <w:r>
        <w:rPr>
          <w:rFonts w:ascii="Verdana"/>
          <w:b/>
          <w:color w:val="365F91"/>
          <w:sz w:val="28"/>
        </w:rPr>
        <w:t>Bilag 7.</w:t>
      </w:r>
    </w:p>
    <w:p>
      <w:pPr>
        <w:spacing w:before="201"/>
        <w:ind w:left="172" w:right="0" w:firstLine="0"/>
        <w:jc w:val="left"/>
        <w:rPr>
          <w:rFonts w:ascii="Verdana" w:hAnsi="Verdana"/>
          <w:b/>
          <w:sz w:val="26"/>
        </w:rPr>
      </w:pPr>
      <w:r>
        <w:rPr>
          <w:rFonts w:ascii="Verdana" w:hAnsi="Verdana"/>
          <w:b/>
          <w:color w:val="4F81BC"/>
          <w:sz w:val="26"/>
        </w:rPr>
        <w:t>Arbejdsklausul vedrørende varetagelse af sociale hensyn</w:t>
      </w:r>
    </w:p>
    <w:p>
      <w:pPr>
        <w:pStyle w:val="BodyText"/>
        <w:spacing w:before="7"/>
        <w:rPr>
          <w:rFonts w:ascii="Verdana"/>
          <w:b/>
          <w:sz w:val="36"/>
        </w:rPr>
      </w:pPr>
    </w:p>
    <w:p>
      <w:pPr>
        <w:pStyle w:val="ListParagraph"/>
        <w:numPr>
          <w:ilvl w:val="0"/>
          <w:numId w:val="11"/>
        </w:numPr>
        <w:tabs>
          <w:tab w:pos="454" w:val="left" w:leader="none"/>
        </w:tabs>
        <w:spacing w:line="240" w:lineRule="auto" w:before="0" w:after="0"/>
        <w:ind w:left="453" w:right="0" w:hanging="281"/>
        <w:jc w:val="left"/>
        <w:rPr>
          <w:rFonts w:ascii="Verdana"/>
          <w:b/>
          <w:sz w:val="20"/>
        </w:rPr>
      </w:pPr>
      <w:r>
        <w:rPr>
          <w:rFonts w:ascii="Verdana"/>
          <w:b/>
          <w:color w:val="4F81BC"/>
          <w:sz w:val="20"/>
        </w:rPr>
        <w:t>Forpligtelsen</w:t>
      </w:r>
    </w:p>
    <w:p>
      <w:pPr>
        <w:spacing w:before="2"/>
        <w:ind w:left="172" w:right="249" w:firstLine="0"/>
        <w:jc w:val="left"/>
        <w:rPr>
          <w:rFonts w:ascii="Verdana" w:hAnsi="Verdana"/>
          <w:sz w:val="13"/>
        </w:rPr>
      </w:pPr>
      <w:r>
        <w:rPr>
          <w:rFonts w:ascii="Verdana" w:hAnsi="Verdana"/>
          <w:sz w:val="20"/>
        </w:rPr>
        <w:t>Totalrådgiveren (herefter benævnt Leverandøren) skal sikre, at de ansatte, som Leverandøren og eventuelle underleverandører beskæftiger i Danmark med henblik på opgavens udførelse, er sikret løn (herunder særlige ydelser) og ansættelsesforhold, der ikke er mindre gunstige løn- og ansættelsesforhold end de, der gælder for arbejde af samme art i henhold til en kollektiv overenskomst indgået af de inden for det pågældende faglige områdes mest repræsentative arbejdsmarkedsparter i Danmark, og som gælder på hele det danske område.</w:t>
      </w:r>
      <w:r>
        <w:rPr>
          <w:rFonts w:ascii="Verdana" w:hAnsi="Verdana"/>
          <w:position w:val="7"/>
          <w:sz w:val="13"/>
        </w:rPr>
        <w:t>1</w:t>
      </w:r>
    </w:p>
    <w:p>
      <w:pPr>
        <w:pStyle w:val="BodyText"/>
        <w:rPr>
          <w:rFonts w:ascii="Verdana"/>
          <w:sz w:val="20"/>
        </w:rPr>
      </w:pPr>
    </w:p>
    <w:p>
      <w:pPr>
        <w:spacing w:before="0"/>
        <w:ind w:left="172" w:right="1072" w:firstLine="0"/>
        <w:jc w:val="left"/>
        <w:rPr>
          <w:rFonts w:ascii="Verdana" w:hAnsi="Verdana"/>
          <w:sz w:val="20"/>
        </w:rPr>
      </w:pPr>
      <w:r>
        <w:rPr>
          <w:rFonts w:ascii="Verdana" w:hAnsi="Verdana"/>
          <w:sz w:val="20"/>
        </w:rPr>
        <w:t>Leverandøren skal sikre, at ansatte hos leverandøren og eventuelle underleverandører orienterer de ansatte om de gældende arbejdsvilkår samt denne arbejdsklausul.</w:t>
      </w:r>
    </w:p>
    <w:p>
      <w:pPr>
        <w:pStyle w:val="BodyText"/>
        <w:spacing w:before="11"/>
        <w:rPr>
          <w:rFonts w:ascii="Verdana"/>
          <w:sz w:val="19"/>
        </w:rPr>
      </w:pPr>
    </w:p>
    <w:p>
      <w:pPr>
        <w:spacing w:before="0"/>
        <w:ind w:left="172" w:right="0" w:firstLine="0"/>
        <w:jc w:val="left"/>
        <w:rPr>
          <w:rFonts w:ascii="Verdana" w:hAnsi="Verdana"/>
          <w:sz w:val="20"/>
        </w:rPr>
      </w:pPr>
      <w:r>
        <w:rPr>
          <w:rFonts w:ascii="Verdana" w:hAnsi="Verdana"/>
          <w:sz w:val="20"/>
        </w:rPr>
        <w:t>Flere overenskomster, der er indgået med samme arbejdsgiverforening og under samme lønmodtagerorganisation og med vilkår, der må anses for ensartede og som samlet er landsdækkende, anses i denne forbindelse også som én overenskomst, som gælder på hele det danske område.</w:t>
      </w:r>
    </w:p>
    <w:p>
      <w:pPr>
        <w:pStyle w:val="ListParagraph"/>
        <w:numPr>
          <w:ilvl w:val="0"/>
          <w:numId w:val="11"/>
        </w:numPr>
        <w:tabs>
          <w:tab w:pos="454" w:val="left" w:leader="none"/>
        </w:tabs>
        <w:spacing w:line="243" w:lineRule="exact" w:before="201" w:after="0"/>
        <w:ind w:left="453" w:right="0" w:hanging="281"/>
        <w:jc w:val="left"/>
        <w:rPr>
          <w:rFonts w:ascii="Verdana"/>
          <w:b/>
          <w:sz w:val="20"/>
        </w:rPr>
      </w:pPr>
      <w:r>
        <w:rPr>
          <w:rFonts w:ascii="Verdana"/>
          <w:b/>
          <w:color w:val="4F81BC"/>
          <w:sz w:val="20"/>
        </w:rPr>
        <w:t>Kontraktligt ansvar</w:t>
      </w:r>
    </w:p>
    <w:p>
      <w:pPr>
        <w:spacing w:before="0"/>
        <w:ind w:left="172" w:right="810" w:firstLine="0"/>
        <w:jc w:val="left"/>
        <w:rPr>
          <w:rFonts w:ascii="Verdana" w:hAnsi="Verdana"/>
          <w:sz w:val="20"/>
        </w:rPr>
      </w:pPr>
      <w:r>
        <w:rPr>
          <w:rFonts w:ascii="Verdana" w:hAnsi="Verdana"/>
          <w:sz w:val="20"/>
        </w:rPr>
        <w:t>Leverandøren er forpligtet til at sikre, at nærværende klausul er gældende og skrives ind kontrakten mellem alle underleverandører, der udfører arbejde efter denne kontrakt.</w:t>
      </w:r>
    </w:p>
    <w:p>
      <w:pPr>
        <w:pStyle w:val="BodyText"/>
        <w:rPr>
          <w:rFonts w:ascii="Verdana"/>
          <w:sz w:val="20"/>
        </w:rPr>
      </w:pPr>
    </w:p>
    <w:p>
      <w:pPr>
        <w:spacing w:before="0"/>
        <w:ind w:left="172" w:right="406" w:firstLine="0"/>
        <w:jc w:val="left"/>
        <w:rPr>
          <w:rFonts w:ascii="Verdana" w:hAnsi="Verdana"/>
          <w:sz w:val="20"/>
        </w:rPr>
      </w:pPr>
      <w:r>
        <w:rPr>
          <w:rFonts w:ascii="Verdana" w:hAnsi="Verdana"/>
          <w:sz w:val="20"/>
        </w:rPr>
        <w:t>Dette indebærer, at kontrakthaver skal sikre, at denne klausul fremgår i alle kontrakter med dennes underleverandører, ligesom underleverandøren er forpligtet til at indskrive denne klausul i kontrakten med sine underleverandører og så fremdeles, så alle led i forsyningskæden er forpligtet i forholdet mellem hinanden.</w:t>
      </w:r>
    </w:p>
    <w:p>
      <w:pPr>
        <w:pStyle w:val="ListParagraph"/>
        <w:numPr>
          <w:ilvl w:val="0"/>
          <w:numId w:val="11"/>
        </w:numPr>
        <w:tabs>
          <w:tab w:pos="454" w:val="left" w:leader="none"/>
        </w:tabs>
        <w:spacing w:line="240" w:lineRule="auto" w:before="200" w:after="0"/>
        <w:ind w:left="453" w:right="0" w:hanging="281"/>
        <w:jc w:val="left"/>
        <w:rPr>
          <w:rFonts w:ascii="Verdana" w:hAnsi="Verdana"/>
          <w:b/>
          <w:sz w:val="20"/>
        </w:rPr>
      </w:pPr>
      <w:r>
        <w:rPr>
          <w:rFonts w:ascii="Verdana" w:hAnsi="Verdana"/>
          <w:b/>
          <w:color w:val="4F81BC"/>
          <w:sz w:val="20"/>
        </w:rPr>
        <w:t>Krav i forbindelse med arbejdets</w:t>
      </w:r>
      <w:r>
        <w:rPr>
          <w:rFonts w:ascii="Verdana" w:hAnsi="Verdana"/>
          <w:b/>
          <w:color w:val="4F81BC"/>
          <w:spacing w:val="-2"/>
          <w:sz w:val="20"/>
        </w:rPr>
        <w:t> </w:t>
      </w:r>
      <w:r>
        <w:rPr>
          <w:rFonts w:ascii="Verdana" w:hAnsi="Verdana"/>
          <w:b/>
          <w:color w:val="4F81BC"/>
          <w:sz w:val="20"/>
        </w:rPr>
        <w:t>udførelse</w:t>
      </w:r>
    </w:p>
    <w:p>
      <w:pPr>
        <w:pStyle w:val="ListParagraph"/>
        <w:numPr>
          <w:ilvl w:val="1"/>
          <w:numId w:val="11"/>
        </w:numPr>
        <w:tabs>
          <w:tab w:pos="596" w:val="left" w:leader="none"/>
        </w:tabs>
        <w:spacing w:line="243" w:lineRule="exact" w:before="201" w:after="0"/>
        <w:ind w:left="595" w:right="0" w:hanging="423"/>
        <w:jc w:val="left"/>
        <w:rPr>
          <w:rFonts w:ascii="Verdana" w:hAnsi="Verdana"/>
          <w:b/>
          <w:sz w:val="20"/>
        </w:rPr>
      </w:pPr>
      <w:r>
        <w:rPr>
          <w:rFonts w:ascii="Verdana" w:hAnsi="Verdana"/>
          <w:b/>
          <w:color w:val="4F81BC"/>
          <w:sz w:val="20"/>
        </w:rPr>
        <w:t>Krav til medarbejderens ansættelsesforhold og identifikation</w:t>
      </w:r>
    </w:p>
    <w:p>
      <w:pPr>
        <w:spacing w:before="0"/>
        <w:ind w:left="172" w:right="949" w:firstLine="0"/>
        <w:jc w:val="left"/>
        <w:rPr>
          <w:rFonts w:ascii="Verdana" w:hAnsi="Verdana"/>
          <w:sz w:val="20"/>
        </w:rPr>
      </w:pPr>
      <w:r>
        <w:rPr>
          <w:rFonts w:ascii="Verdana" w:hAnsi="Verdana"/>
          <w:sz w:val="20"/>
        </w:rPr>
        <w:t>Alle medarbejdere skal inden 4 uger efter arbejdets påbegyndelse have modtaget et ansættelsesbevis samt orienteres af Leverandøren, om gældende løn (herunder særlige ydelser), arbejdstid og arbejdsvilkår.</w:t>
      </w:r>
    </w:p>
    <w:p>
      <w:pPr>
        <w:spacing w:before="0"/>
        <w:ind w:left="172" w:right="646" w:firstLine="0"/>
        <w:jc w:val="left"/>
        <w:rPr>
          <w:rFonts w:ascii="Verdana" w:hAnsi="Verdana"/>
          <w:sz w:val="20"/>
        </w:rPr>
      </w:pPr>
      <w:r>
        <w:rPr>
          <w:rFonts w:ascii="Verdana" w:hAnsi="Verdana"/>
          <w:sz w:val="20"/>
        </w:rPr>
        <w:t>Leverandøren er endvidere ansvarlig for, at der kun anvendes medarbejdere med gyldig opholds- og arbejdstilladelse. Medarbejdere skal på forlangende kunne dokumentere deres identitet ved fremvisning af billedlegitimation.</w:t>
      </w:r>
    </w:p>
    <w:p>
      <w:pPr>
        <w:pStyle w:val="ListParagraph"/>
        <w:numPr>
          <w:ilvl w:val="1"/>
          <w:numId w:val="11"/>
        </w:numPr>
        <w:tabs>
          <w:tab w:pos="596" w:val="left" w:leader="none"/>
        </w:tabs>
        <w:spacing w:line="240" w:lineRule="auto" w:before="199" w:after="0"/>
        <w:ind w:left="172" w:right="434" w:firstLine="0"/>
        <w:jc w:val="left"/>
        <w:rPr>
          <w:rFonts w:ascii="Verdana" w:hAnsi="Verdana"/>
          <w:b/>
          <w:sz w:val="20"/>
        </w:rPr>
      </w:pPr>
      <w:r>
        <w:rPr>
          <w:rFonts w:ascii="Verdana" w:hAnsi="Verdana"/>
          <w:b/>
          <w:color w:val="4F81BC"/>
          <w:sz w:val="20"/>
        </w:rPr>
        <w:t>Krav til ophold på arbejdspladsen, orientering om underleverandører samt krav til</w:t>
      </w:r>
      <w:r>
        <w:rPr>
          <w:rFonts w:ascii="Verdana" w:hAnsi="Verdana"/>
          <w:b/>
          <w:color w:val="4F81BC"/>
          <w:spacing w:val="-2"/>
          <w:sz w:val="20"/>
        </w:rPr>
        <w:t> </w:t>
      </w:r>
      <w:r>
        <w:rPr>
          <w:rFonts w:ascii="Verdana" w:hAnsi="Verdana"/>
          <w:b/>
          <w:color w:val="4F81BC"/>
          <w:sz w:val="20"/>
        </w:rPr>
        <w:t>skiltning</w:t>
      </w:r>
    </w:p>
    <w:p>
      <w:pPr>
        <w:pStyle w:val="BodyText"/>
        <w:spacing w:before="1"/>
        <w:rPr>
          <w:rFonts w:ascii="Verdana"/>
          <w:b/>
          <w:sz w:val="20"/>
        </w:rPr>
      </w:pPr>
    </w:p>
    <w:p>
      <w:pPr>
        <w:spacing w:before="0"/>
        <w:ind w:left="172" w:right="0" w:firstLine="0"/>
        <w:jc w:val="left"/>
        <w:rPr>
          <w:rFonts w:ascii="Verdana" w:hAnsi="Verdana"/>
          <w:sz w:val="20"/>
        </w:rPr>
      </w:pPr>
      <w:r>
        <w:rPr>
          <w:rFonts w:ascii="Verdana" w:hAnsi="Verdana"/>
          <w:sz w:val="20"/>
        </w:rPr>
        <w:t>Ordregiver skal skriftligt orienteres om, hvilke underleverandører Leverandøren anvender i forbindelse med opfyldelsen af kontrakten, ved angivelse af navn og CVR.nr./RUT.nr. Dette gælder for alle underleverandører i hele kontraktperioden.</w:t>
      </w:r>
    </w:p>
    <w:p>
      <w:pPr>
        <w:pStyle w:val="BodyText"/>
        <w:rPr>
          <w:rFonts w:ascii="Verdana"/>
          <w:sz w:val="20"/>
        </w:rPr>
      </w:pPr>
    </w:p>
    <w:p>
      <w:pPr>
        <w:spacing w:before="0"/>
        <w:ind w:left="172" w:right="377" w:firstLine="0"/>
        <w:jc w:val="both"/>
        <w:rPr>
          <w:rFonts w:ascii="Verdana" w:hAnsi="Verdana"/>
          <w:sz w:val="20"/>
        </w:rPr>
      </w:pPr>
      <w:r>
        <w:rPr>
          <w:rFonts w:ascii="Verdana" w:hAnsi="Verdana"/>
          <w:sz w:val="20"/>
        </w:rPr>
        <w:t>Leverandøren skal endvidere på bygge-, drifts-, statusmøder eller lignende oplyse Ordregiver om, hvilke underleverandører, der befinder sig på arbejdspladsen i en forud defineret periode samt eventuelt hvilket arbejde, de udfører.</w:t>
      </w:r>
    </w:p>
    <w:p>
      <w:pPr>
        <w:pStyle w:val="BodyText"/>
        <w:rPr>
          <w:rFonts w:ascii="Verdana"/>
          <w:sz w:val="20"/>
        </w:rPr>
      </w:pPr>
    </w:p>
    <w:p>
      <w:pPr>
        <w:spacing w:before="0"/>
        <w:ind w:left="172" w:right="508" w:firstLine="0"/>
        <w:jc w:val="left"/>
        <w:rPr>
          <w:rFonts w:ascii="Verdana" w:hAnsi="Verdana"/>
          <w:sz w:val="20"/>
        </w:rPr>
      </w:pPr>
      <w:r>
        <w:rPr>
          <w:rFonts w:ascii="Verdana" w:hAnsi="Verdana"/>
          <w:sz w:val="20"/>
        </w:rPr>
        <w:t>Ordregiver kan konkret stille krav til, at Leverandøren skilter med, hvilke virksomheder, der udfører arbejde på arbejdspladsen ved angivelse af navn og CVR.nr./RUT.nr.</w:t>
      </w:r>
    </w:p>
    <w:p>
      <w:pPr>
        <w:pStyle w:val="BodyText"/>
        <w:rPr>
          <w:rFonts w:ascii="Verdana"/>
          <w:sz w:val="20"/>
        </w:rPr>
      </w:pPr>
    </w:p>
    <w:p>
      <w:pPr>
        <w:spacing w:before="0"/>
        <w:ind w:left="172" w:right="1207" w:firstLine="0"/>
        <w:jc w:val="left"/>
        <w:rPr>
          <w:rFonts w:ascii="Verdana" w:hAnsi="Verdana"/>
          <w:sz w:val="20"/>
        </w:rPr>
      </w:pPr>
      <w:r>
        <w:rPr>
          <w:rFonts w:ascii="Verdana" w:hAnsi="Verdana"/>
          <w:sz w:val="20"/>
        </w:rPr>
        <w:t>Leverandøren er til enhver tid underlagt Ordregivers instruktioner omkring ophold på arbejdspladsen.</w:t>
      </w:r>
    </w:p>
    <w:p>
      <w:pPr>
        <w:pStyle w:val="BodyText"/>
        <w:spacing w:before="8"/>
        <w:rPr>
          <w:rFonts w:ascii="Verdana"/>
          <w:sz w:val="29"/>
        </w:rPr>
      </w:pPr>
      <w:r>
        <w:rPr/>
        <w:pict>
          <v:line style="position:absolute;mso-position-horizontal-relative:page;mso-position-vertical-relative:paragraph;z-index:-952;mso-wrap-distance-left:0;mso-wrap-distance-right:0" from="56.639999pt,20.234976pt" to="200.689999pt,20.234976pt" stroked="true" strokeweight=".48004pt" strokecolor="#000000">
            <v:stroke dashstyle="solid"/>
            <w10:wrap type="topAndBottom"/>
          </v:line>
        </w:pict>
      </w:r>
    </w:p>
    <w:p>
      <w:pPr>
        <w:spacing w:before="50"/>
        <w:ind w:left="172" w:right="0" w:firstLine="0"/>
        <w:jc w:val="left"/>
        <w:rPr>
          <w:sz w:val="20"/>
        </w:rPr>
      </w:pPr>
      <w:r>
        <w:rPr>
          <w:position w:val="7"/>
          <w:sz w:val="13"/>
        </w:rPr>
        <w:t>1 </w:t>
      </w:r>
      <w:r>
        <w:rPr>
          <w:sz w:val="20"/>
        </w:rPr>
        <w:t>Jf. Beskæftigelsesministeriets cirkulære om arbejdsklausuler i offentlige kontrakter.</w:t>
      </w:r>
    </w:p>
    <w:p>
      <w:pPr>
        <w:spacing w:after="0"/>
        <w:jc w:val="left"/>
        <w:rPr>
          <w:sz w:val="20"/>
        </w:rPr>
        <w:sectPr>
          <w:pgSz w:w="11910" w:h="16850"/>
          <w:pgMar w:header="0" w:footer="679" w:top="1360" w:bottom="880" w:left="960" w:right="960"/>
        </w:sectPr>
      </w:pPr>
    </w:p>
    <w:p>
      <w:pPr>
        <w:spacing w:before="79"/>
        <w:ind w:left="172" w:right="478" w:firstLine="0"/>
        <w:jc w:val="left"/>
        <w:rPr>
          <w:rFonts w:ascii="Verdana" w:hAnsi="Verdana"/>
          <w:sz w:val="20"/>
        </w:rPr>
      </w:pPr>
      <w:r>
        <w:rPr>
          <w:rFonts w:ascii="Verdana" w:hAnsi="Verdana"/>
          <w:sz w:val="20"/>
        </w:rPr>
        <w:t>Ordregiver forbeholder sig med dette krav retten til at kunne udstikke instruktioner omkring ophold på arbejdspladsen. Eksempler herpå kan være regler omkring uønsket ophold på arbejdspladsen, forbud mod overnatning på byggepladsen mv.</w:t>
      </w:r>
    </w:p>
    <w:p>
      <w:pPr>
        <w:spacing w:line="243" w:lineRule="exact" w:before="200"/>
        <w:ind w:left="172" w:right="0" w:firstLine="0"/>
        <w:jc w:val="left"/>
        <w:rPr>
          <w:rFonts w:ascii="Verdana"/>
          <w:b/>
          <w:sz w:val="20"/>
        </w:rPr>
      </w:pPr>
      <w:r>
        <w:rPr>
          <w:rFonts w:ascii="Verdana"/>
          <w:b/>
          <w:color w:val="4F81BC"/>
          <w:sz w:val="20"/>
        </w:rPr>
        <w:t>3.3. Krav om registrering af udenlandske tjenesteydere</w:t>
      </w:r>
    </w:p>
    <w:p>
      <w:pPr>
        <w:spacing w:before="0"/>
        <w:ind w:left="172" w:right="0" w:firstLine="0"/>
        <w:jc w:val="left"/>
        <w:rPr>
          <w:rFonts w:ascii="Verdana" w:hAnsi="Verdana"/>
          <w:sz w:val="20"/>
        </w:rPr>
      </w:pPr>
      <w:r>
        <w:rPr>
          <w:rFonts w:ascii="Verdana" w:hAnsi="Verdana"/>
          <w:sz w:val="20"/>
        </w:rPr>
        <w:t>Leverandøren er forpligtiget til at sikre, at denne, såfremt Leverandøren eller dennes underleverandører har anmeldelsespligt til RUT-registret, overholder forpligtelserne.</w:t>
      </w:r>
    </w:p>
    <w:p>
      <w:pPr>
        <w:pStyle w:val="ListParagraph"/>
        <w:numPr>
          <w:ilvl w:val="0"/>
          <w:numId w:val="11"/>
        </w:numPr>
        <w:tabs>
          <w:tab w:pos="454" w:val="left" w:leader="none"/>
        </w:tabs>
        <w:spacing w:line="240" w:lineRule="auto" w:before="200" w:after="0"/>
        <w:ind w:left="453" w:right="0" w:hanging="281"/>
        <w:jc w:val="left"/>
        <w:rPr>
          <w:rFonts w:ascii="Verdana"/>
          <w:b/>
          <w:sz w:val="20"/>
        </w:rPr>
      </w:pPr>
      <w:r>
        <w:rPr>
          <w:rFonts w:ascii="Verdana"/>
          <w:b/>
          <w:color w:val="4F81BC"/>
          <w:sz w:val="20"/>
        </w:rPr>
        <w:t>Dokumentation</w:t>
      </w:r>
    </w:p>
    <w:p>
      <w:pPr>
        <w:pStyle w:val="ListParagraph"/>
        <w:numPr>
          <w:ilvl w:val="1"/>
          <w:numId w:val="12"/>
        </w:numPr>
        <w:tabs>
          <w:tab w:pos="668" w:val="left" w:leader="none"/>
        </w:tabs>
        <w:spacing w:line="243" w:lineRule="exact" w:before="201" w:after="0"/>
        <w:ind w:left="667" w:right="0" w:hanging="495"/>
        <w:jc w:val="left"/>
        <w:rPr>
          <w:rFonts w:ascii="Verdana"/>
          <w:b/>
          <w:sz w:val="20"/>
        </w:rPr>
      </w:pPr>
      <w:r>
        <w:rPr>
          <w:rFonts w:ascii="Verdana"/>
          <w:b/>
          <w:color w:val="4F81BC"/>
          <w:sz w:val="20"/>
        </w:rPr>
        <w:t>Dialog</w:t>
      </w:r>
    </w:p>
    <w:p>
      <w:pPr>
        <w:spacing w:before="0"/>
        <w:ind w:left="172" w:right="591" w:firstLine="0"/>
        <w:jc w:val="left"/>
        <w:rPr>
          <w:rFonts w:ascii="Verdana" w:hAnsi="Verdana"/>
          <w:sz w:val="20"/>
        </w:rPr>
      </w:pPr>
      <w:r>
        <w:rPr>
          <w:rFonts w:ascii="Verdana" w:hAnsi="Verdana"/>
          <w:sz w:val="20"/>
        </w:rPr>
        <w:t>Leverandøren er forpligtet til at indgå i løbende dialog med Ordregiver om overholdelsen af nærværende klausul.</w:t>
      </w:r>
    </w:p>
    <w:p>
      <w:pPr>
        <w:pStyle w:val="ListParagraph"/>
        <w:numPr>
          <w:ilvl w:val="1"/>
          <w:numId w:val="12"/>
        </w:numPr>
        <w:tabs>
          <w:tab w:pos="668" w:val="left" w:leader="none"/>
        </w:tabs>
        <w:spacing w:line="240" w:lineRule="auto" w:before="200" w:after="0"/>
        <w:ind w:left="667" w:right="0" w:hanging="495"/>
        <w:jc w:val="left"/>
        <w:rPr>
          <w:rFonts w:ascii="Verdana" w:hAnsi="Verdana"/>
          <w:b/>
          <w:sz w:val="20"/>
        </w:rPr>
      </w:pPr>
      <w:r>
        <w:rPr>
          <w:rFonts w:ascii="Verdana" w:hAnsi="Verdana"/>
          <w:b/>
          <w:color w:val="4F81BC"/>
          <w:sz w:val="20"/>
        </w:rPr>
        <w:t>Redegørelse</w:t>
      </w:r>
    </w:p>
    <w:p>
      <w:pPr>
        <w:spacing w:before="0"/>
        <w:ind w:left="172" w:right="724" w:firstLine="0"/>
        <w:jc w:val="left"/>
        <w:rPr>
          <w:rFonts w:ascii="Verdana" w:hAnsi="Verdana"/>
          <w:sz w:val="20"/>
        </w:rPr>
      </w:pPr>
      <w:r>
        <w:rPr>
          <w:rFonts w:ascii="Verdana" w:hAnsi="Verdana"/>
          <w:sz w:val="20"/>
        </w:rPr>
        <w:t>Såfremt Ordregiver har en mistanke om overtrædelse, skal Leverandøren efter påkrav, fremsende en fyldestgørende redegørelse. Parterne har endvidere pligt til egenhændigt at orientere hinanden, ved mistanke om manglende overholdelse af arbejdsklausulen.</w:t>
      </w:r>
    </w:p>
    <w:p>
      <w:pPr>
        <w:spacing w:before="1"/>
        <w:ind w:left="172" w:right="775" w:firstLine="0"/>
        <w:jc w:val="left"/>
        <w:rPr>
          <w:rFonts w:ascii="Verdana" w:hAnsi="Verdana"/>
          <w:sz w:val="20"/>
        </w:rPr>
      </w:pPr>
      <w:r>
        <w:rPr>
          <w:rFonts w:ascii="Verdana" w:hAnsi="Verdana"/>
          <w:sz w:val="20"/>
        </w:rPr>
        <w:t>Leverandøren skal som minimum redegøre for, under hvilke forhold og/eller metoder de tjenesteydelser og bygge- og anlægsarbejder, der indgår til opfyldelsen af Kontrakten, er fremstillet.</w:t>
      </w:r>
    </w:p>
    <w:p>
      <w:pPr>
        <w:pStyle w:val="BodyText"/>
        <w:spacing w:before="11"/>
        <w:rPr>
          <w:rFonts w:ascii="Verdana"/>
          <w:sz w:val="19"/>
        </w:rPr>
      </w:pPr>
    </w:p>
    <w:p>
      <w:pPr>
        <w:spacing w:before="0"/>
        <w:ind w:left="172" w:right="685" w:firstLine="0"/>
        <w:jc w:val="left"/>
        <w:rPr>
          <w:rFonts w:ascii="Verdana" w:hAnsi="Verdana"/>
          <w:sz w:val="20"/>
        </w:rPr>
      </w:pPr>
      <w:r>
        <w:rPr>
          <w:rFonts w:ascii="Verdana" w:hAnsi="Verdana"/>
          <w:sz w:val="20"/>
        </w:rPr>
        <w:t>Ordregiver kan i den konkrete sag anmode Leverandøren om at uddybe andre relevante forhold.</w:t>
      </w:r>
    </w:p>
    <w:p>
      <w:pPr>
        <w:pStyle w:val="ListParagraph"/>
        <w:numPr>
          <w:ilvl w:val="1"/>
          <w:numId w:val="12"/>
        </w:numPr>
        <w:tabs>
          <w:tab w:pos="668" w:val="left" w:leader="none"/>
        </w:tabs>
        <w:spacing w:line="243" w:lineRule="exact" w:before="201" w:after="0"/>
        <w:ind w:left="667" w:right="0" w:hanging="495"/>
        <w:jc w:val="left"/>
        <w:rPr>
          <w:rFonts w:ascii="Verdana"/>
          <w:b/>
          <w:sz w:val="20"/>
        </w:rPr>
      </w:pPr>
      <w:r>
        <w:rPr>
          <w:rFonts w:ascii="Verdana"/>
          <w:b/>
          <w:color w:val="4F81BC"/>
          <w:sz w:val="20"/>
        </w:rPr>
        <w:t>Krav om</w:t>
      </w:r>
      <w:r>
        <w:rPr>
          <w:rFonts w:ascii="Verdana"/>
          <w:b/>
          <w:color w:val="4F81BC"/>
          <w:spacing w:val="-3"/>
          <w:sz w:val="20"/>
        </w:rPr>
        <w:t> </w:t>
      </w:r>
      <w:r>
        <w:rPr>
          <w:rFonts w:ascii="Verdana"/>
          <w:b/>
          <w:color w:val="4F81BC"/>
          <w:sz w:val="20"/>
        </w:rPr>
        <w:t>dokumentation</w:t>
      </w:r>
    </w:p>
    <w:p>
      <w:pPr>
        <w:spacing w:before="0"/>
        <w:ind w:left="172" w:right="459" w:firstLine="0"/>
        <w:jc w:val="left"/>
        <w:rPr>
          <w:rFonts w:ascii="Verdana" w:hAnsi="Verdana"/>
          <w:sz w:val="20"/>
        </w:rPr>
      </w:pPr>
      <w:r>
        <w:rPr>
          <w:rFonts w:ascii="Verdana" w:hAnsi="Verdana"/>
          <w:sz w:val="20"/>
        </w:rPr>
        <w:t>Ordregiver kan til enhver tid udbede sig relevant dokumentation for, at løn- og arbejdsvilkår for arbejdstagerne lever op til den forpligtelse, som arbejdsklausulen fastsætter.</w:t>
      </w:r>
    </w:p>
    <w:p>
      <w:pPr>
        <w:pStyle w:val="ListParagraph"/>
        <w:numPr>
          <w:ilvl w:val="1"/>
          <w:numId w:val="13"/>
        </w:numPr>
        <w:tabs>
          <w:tab w:pos="596" w:val="left" w:leader="none"/>
        </w:tabs>
        <w:spacing w:line="240" w:lineRule="auto" w:before="200" w:after="0"/>
        <w:ind w:left="595" w:right="0" w:hanging="423"/>
        <w:jc w:val="left"/>
        <w:rPr>
          <w:rFonts w:ascii="Verdana"/>
          <w:b/>
          <w:sz w:val="20"/>
        </w:rPr>
      </w:pPr>
      <w:r>
        <w:rPr>
          <w:rFonts w:ascii="Verdana"/>
          <w:b/>
          <w:color w:val="4F81BC"/>
          <w:sz w:val="20"/>
        </w:rPr>
        <w:t>Fremsendelse af</w:t>
      </w:r>
      <w:r>
        <w:rPr>
          <w:rFonts w:ascii="Verdana"/>
          <w:b/>
          <w:color w:val="4F81BC"/>
          <w:spacing w:val="-1"/>
          <w:sz w:val="20"/>
        </w:rPr>
        <w:t> </w:t>
      </w:r>
      <w:r>
        <w:rPr>
          <w:rFonts w:ascii="Verdana"/>
          <w:b/>
          <w:color w:val="4F81BC"/>
          <w:sz w:val="20"/>
        </w:rPr>
        <w:t>dokumentation</w:t>
      </w:r>
    </w:p>
    <w:p>
      <w:pPr>
        <w:spacing w:before="2"/>
        <w:ind w:left="172" w:right="605" w:firstLine="0"/>
        <w:jc w:val="left"/>
        <w:rPr>
          <w:rFonts w:ascii="Verdana" w:hAnsi="Verdana"/>
          <w:sz w:val="20"/>
        </w:rPr>
      </w:pPr>
      <w:r>
        <w:rPr>
          <w:rFonts w:ascii="Verdana" w:hAnsi="Verdana"/>
          <w:sz w:val="20"/>
        </w:rPr>
        <w:t>Ordregiver kan kræve, at leverandøren – efter skriftligt påkrav herom – inden for 10 arbejdsdage fremskaffer relevant dokumentation for såvel egne som eventuelle underleverandørers arbejdstagere, såsom løn- og timesedler, lønregnskab og ansættelseskontrakter eller udtræk pr. medarbejder fra E-indkomst, med en oversigt over Leverandørens indbetalte A-skat for de pågældende medarbejdere. For personale, hvor oplysningerne indberettes til andre landes skattemyndigheder, skal tilsvarende oplysninger udleveres. Ordregiver kan til brug for sin vurdering af, om Leverandøren eller underleverandører har overholdt klausulen, søge rådgivning hos relevante arbejdsgiver- og/eller</w:t>
      </w:r>
      <w:r>
        <w:rPr>
          <w:rFonts w:ascii="Verdana" w:hAnsi="Verdana"/>
          <w:spacing w:val="-3"/>
          <w:sz w:val="20"/>
        </w:rPr>
        <w:t> </w:t>
      </w:r>
      <w:r>
        <w:rPr>
          <w:rFonts w:ascii="Verdana" w:hAnsi="Verdana"/>
          <w:sz w:val="20"/>
        </w:rPr>
        <w:t>arbejdstagerorganisationer.</w:t>
      </w:r>
    </w:p>
    <w:p>
      <w:pPr>
        <w:pStyle w:val="BodyText"/>
        <w:spacing w:before="10"/>
        <w:rPr>
          <w:rFonts w:ascii="Verdana"/>
          <w:sz w:val="19"/>
        </w:rPr>
      </w:pPr>
    </w:p>
    <w:p>
      <w:pPr>
        <w:spacing w:before="0"/>
        <w:ind w:left="172" w:right="186" w:firstLine="0"/>
        <w:jc w:val="left"/>
        <w:rPr>
          <w:rFonts w:ascii="Verdana" w:hAnsi="Verdana"/>
          <w:sz w:val="20"/>
        </w:rPr>
      </w:pPr>
      <w:r>
        <w:rPr>
          <w:rFonts w:ascii="Verdana" w:hAnsi="Verdana"/>
          <w:sz w:val="20"/>
        </w:rPr>
        <w:t>Materialet skal fremsendes under hensyntagen til den til enhver tid gældende lovgivning, herunder persondatalovgivningen, og kan være anonymiseret i det omfang, at det stadig er muligt at foretage den fornødne kontrol. Hvor det er nødvendigt at fremsende ikke- anonymiseret dokumentation, skal Leverandøren skal sikre, at det fornødne samtykke fra</w:t>
      </w:r>
      <w:r>
        <w:rPr>
          <w:rFonts w:ascii="Verdana" w:hAnsi="Verdana"/>
          <w:spacing w:val="-28"/>
          <w:sz w:val="20"/>
        </w:rPr>
        <w:t> </w:t>
      </w:r>
      <w:r>
        <w:rPr>
          <w:rFonts w:ascii="Verdana" w:hAnsi="Verdana"/>
          <w:sz w:val="20"/>
        </w:rPr>
        <w:t>den enkelte arbejdstager, jf. gældende persondatalovgivning, er til rådighed for den ovenfor beskrevne overdragelse af oplysninger om løn- og ansættelsesvilkår, således at den fastsatte tidsfrist på 10 dage kan</w:t>
      </w:r>
      <w:r>
        <w:rPr>
          <w:rFonts w:ascii="Verdana" w:hAnsi="Verdana"/>
          <w:spacing w:val="-2"/>
          <w:sz w:val="20"/>
        </w:rPr>
        <w:t> </w:t>
      </w:r>
      <w:r>
        <w:rPr>
          <w:rFonts w:ascii="Verdana" w:hAnsi="Verdana"/>
          <w:sz w:val="20"/>
        </w:rPr>
        <w:t>overholdes.</w:t>
      </w:r>
    </w:p>
    <w:p>
      <w:pPr>
        <w:pStyle w:val="ListParagraph"/>
        <w:numPr>
          <w:ilvl w:val="1"/>
          <w:numId w:val="13"/>
        </w:numPr>
        <w:tabs>
          <w:tab w:pos="598" w:val="left" w:leader="none"/>
        </w:tabs>
        <w:spacing w:line="240" w:lineRule="auto" w:before="200" w:after="0"/>
        <w:ind w:left="597" w:right="0" w:hanging="425"/>
        <w:jc w:val="left"/>
        <w:rPr>
          <w:rFonts w:ascii="Verdana"/>
          <w:b/>
          <w:sz w:val="20"/>
        </w:rPr>
      </w:pPr>
      <w:r>
        <w:rPr>
          <w:rFonts w:ascii="Verdana"/>
          <w:b/>
          <w:color w:val="4F81BC"/>
          <w:sz w:val="20"/>
        </w:rPr>
        <w:t>Videregivelse af</w:t>
      </w:r>
      <w:r>
        <w:rPr>
          <w:rFonts w:ascii="Verdana"/>
          <w:b/>
          <w:color w:val="4F81BC"/>
          <w:spacing w:val="-1"/>
          <w:sz w:val="20"/>
        </w:rPr>
        <w:t> </w:t>
      </w:r>
      <w:r>
        <w:rPr>
          <w:rFonts w:ascii="Verdana"/>
          <w:b/>
          <w:color w:val="4F81BC"/>
          <w:sz w:val="20"/>
        </w:rPr>
        <w:t>dokumentation</w:t>
      </w:r>
    </w:p>
    <w:p>
      <w:pPr>
        <w:spacing w:before="2"/>
        <w:ind w:left="172" w:right="805" w:firstLine="0"/>
        <w:jc w:val="left"/>
        <w:rPr>
          <w:rFonts w:ascii="Verdana" w:hAnsi="Verdana"/>
          <w:sz w:val="20"/>
        </w:rPr>
      </w:pPr>
      <w:r>
        <w:rPr>
          <w:rFonts w:ascii="Verdana" w:hAnsi="Verdana"/>
          <w:sz w:val="20"/>
        </w:rPr>
        <w:t>Ordregiver kan efter en konkret vurdering videregive informationer, som tjener som dokumentation for overholdelse af kravene i Arbejdsklausulen, jf. afsnit 2.1 til SKAT eller Arbejdstilsynet, såfremt videregivelsen vurderes at være af væsentlig betydning for myndighedernes virksomhed.</w:t>
      </w:r>
    </w:p>
    <w:p>
      <w:pPr>
        <w:pStyle w:val="BodyText"/>
        <w:spacing w:before="11"/>
        <w:rPr>
          <w:rFonts w:ascii="Verdana"/>
          <w:sz w:val="19"/>
        </w:rPr>
      </w:pPr>
    </w:p>
    <w:p>
      <w:pPr>
        <w:spacing w:before="0"/>
        <w:ind w:left="172" w:right="241" w:firstLine="0"/>
        <w:jc w:val="left"/>
        <w:rPr>
          <w:rFonts w:ascii="Verdana" w:hAnsi="Verdana"/>
          <w:sz w:val="20"/>
        </w:rPr>
      </w:pPr>
      <w:r>
        <w:rPr>
          <w:rFonts w:ascii="Verdana" w:hAnsi="Verdana"/>
          <w:sz w:val="20"/>
        </w:rPr>
        <w:t>Ordregiver kan efter en konkret vurdering videregive informationer, der tjener som dokumentation for overholdelse af kravene i Arbejdsklausulen, jf. afsnit 2.1 til politiet, såfremt der er mistanke om et begået strafbart forhold.</w:t>
      </w:r>
    </w:p>
    <w:p>
      <w:pPr>
        <w:pStyle w:val="ListParagraph"/>
        <w:numPr>
          <w:ilvl w:val="0"/>
          <w:numId w:val="11"/>
        </w:numPr>
        <w:tabs>
          <w:tab w:pos="454" w:val="left" w:leader="none"/>
        </w:tabs>
        <w:spacing w:line="240" w:lineRule="auto" w:before="200" w:after="0"/>
        <w:ind w:left="453" w:right="0" w:hanging="281"/>
        <w:jc w:val="left"/>
        <w:rPr>
          <w:rFonts w:ascii="Verdana"/>
          <w:b/>
          <w:sz w:val="20"/>
        </w:rPr>
      </w:pPr>
      <w:r>
        <w:rPr>
          <w:rFonts w:ascii="Verdana"/>
          <w:b/>
          <w:color w:val="4F81BC"/>
          <w:sz w:val="20"/>
        </w:rPr>
        <w:t>Sanktioner</w:t>
      </w:r>
    </w:p>
    <w:p>
      <w:pPr>
        <w:pStyle w:val="ListParagraph"/>
        <w:numPr>
          <w:ilvl w:val="1"/>
          <w:numId w:val="14"/>
        </w:numPr>
        <w:tabs>
          <w:tab w:pos="668" w:val="left" w:leader="none"/>
        </w:tabs>
        <w:spacing w:line="240" w:lineRule="auto" w:before="201" w:after="0"/>
        <w:ind w:left="667" w:right="0" w:hanging="495"/>
        <w:jc w:val="left"/>
        <w:rPr>
          <w:rFonts w:ascii="Verdana"/>
          <w:b/>
          <w:sz w:val="20"/>
        </w:rPr>
      </w:pPr>
      <w:r>
        <w:rPr>
          <w:rFonts w:ascii="Verdana"/>
          <w:b/>
          <w:color w:val="4F81BC"/>
          <w:sz w:val="20"/>
        </w:rPr>
        <w:t>Sanktion for manglende overholdelse af forpligtelsen i afsnit 1, 2 og</w:t>
      </w:r>
      <w:r>
        <w:rPr>
          <w:rFonts w:ascii="Verdana"/>
          <w:b/>
          <w:color w:val="4F81BC"/>
          <w:spacing w:val="-11"/>
          <w:sz w:val="20"/>
        </w:rPr>
        <w:t> </w:t>
      </w:r>
      <w:r>
        <w:rPr>
          <w:rFonts w:ascii="Verdana"/>
          <w:b/>
          <w:color w:val="4F81BC"/>
          <w:sz w:val="20"/>
        </w:rPr>
        <w:t>3</w:t>
      </w:r>
    </w:p>
    <w:p>
      <w:pPr>
        <w:spacing w:after="0" w:line="240" w:lineRule="auto"/>
        <w:jc w:val="left"/>
        <w:rPr>
          <w:rFonts w:ascii="Verdana"/>
          <w:sz w:val="20"/>
        </w:rPr>
        <w:sectPr>
          <w:pgSz w:w="11910" w:h="16850"/>
          <w:pgMar w:header="0" w:footer="679" w:top="1360" w:bottom="860" w:left="960" w:right="960"/>
        </w:sectPr>
      </w:pPr>
    </w:p>
    <w:p>
      <w:pPr>
        <w:spacing w:before="79"/>
        <w:ind w:left="172" w:right="277" w:firstLine="0"/>
        <w:jc w:val="left"/>
        <w:rPr>
          <w:rFonts w:ascii="Verdana" w:hAnsi="Verdana"/>
          <w:sz w:val="20"/>
        </w:rPr>
      </w:pPr>
      <w:r>
        <w:rPr>
          <w:rFonts w:ascii="Verdana" w:hAnsi="Verdana"/>
          <w:sz w:val="20"/>
        </w:rPr>
        <w:t>Leverandørens eller dennes underleverandørers væsentlige overtrædelser af Arbejdsklausulen vil altid berettige Ordregiver til at ophæve kontrakten helt eller delvist. Ved væsentlig misligholdelse forstås f.eks. grove eller gentagne overtrædelser af arbejdsklausulen, jf. afsnit 1, 2 og 3.</w:t>
      </w:r>
    </w:p>
    <w:p>
      <w:pPr>
        <w:pStyle w:val="BodyText"/>
        <w:rPr>
          <w:rFonts w:ascii="Verdana"/>
          <w:sz w:val="20"/>
        </w:rPr>
      </w:pPr>
    </w:p>
    <w:p>
      <w:pPr>
        <w:spacing w:before="0"/>
        <w:ind w:left="172" w:right="0" w:firstLine="0"/>
        <w:jc w:val="left"/>
        <w:rPr>
          <w:rFonts w:ascii="Verdana" w:hAnsi="Verdana"/>
          <w:sz w:val="20"/>
        </w:rPr>
      </w:pPr>
      <w:r>
        <w:rPr>
          <w:rFonts w:ascii="Verdana" w:hAnsi="Verdana"/>
          <w:sz w:val="20"/>
        </w:rPr>
        <w:t>Ifalder Leverandøren nedenstående sanktioner eller andre misligholdelsesbeføjelser, fritages denne ikke for pligten til at opfylde kontrakten.</w:t>
      </w:r>
    </w:p>
    <w:p>
      <w:pPr>
        <w:pStyle w:val="ListParagraph"/>
        <w:numPr>
          <w:ilvl w:val="1"/>
          <w:numId w:val="14"/>
        </w:numPr>
        <w:tabs>
          <w:tab w:pos="668" w:val="left" w:leader="none"/>
        </w:tabs>
        <w:spacing w:line="240" w:lineRule="auto" w:before="200" w:after="0"/>
        <w:ind w:left="172" w:right="571" w:firstLine="0"/>
        <w:jc w:val="left"/>
        <w:rPr>
          <w:rFonts w:ascii="Verdana" w:hAnsi="Verdana"/>
          <w:sz w:val="20"/>
        </w:rPr>
      </w:pPr>
      <w:r>
        <w:rPr>
          <w:rFonts w:ascii="Verdana" w:hAnsi="Verdana"/>
          <w:b/>
          <w:color w:val="4F81BC"/>
          <w:sz w:val="20"/>
        </w:rPr>
        <w:t>Sanktioner ved Leverandørens overtrædelse til klausulens afsnit 1,3 og 5</w:t>
      </w:r>
      <w:r>
        <w:rPr>
          <w:rFonts w:ascii="Verdana" w:hAnsi="Verdana"/>
          <w:b/>
          <w:sz w:val="20"/>
        </w:rPr>
        <w:t> </w:t>
      </w:r>
      <w:r>
        <w:rPr>
          <w:rFonts w:ascii="Verdana" w:hAnsi="Verdana"/>
          <w:sz w:val="20"/>
        </w:rPr>
        <w:t>Leverandøren pålægges af ordregiver en frist til bringe forholdene i overensstemmelse</w:t>
      </w:r>
      <w:r>
        <w:rPr>
          <w:rFonts w:ascii="Verdana" w:hAnsi="Verdana"/>
          <w:spacing w:val="-38"/>
          <w:sz w:val="20"/>
        </w:rPr>
        <w:t> </w:t>
      </w:r>
      <w:r>
        <w:rPr>
          <w:rFonts w:ascii="Verdana" w:hAnsi="Verdana"/>
          <w:sz w:val="20"/>
        </w:rPr>
        <w:t>med afsnit 1 ved første konstatering af</w:t>
      </w:r>
      <w:r>
        <w:rPr>
          <w:rFonts w:ascii="Verdana" w:hAnsi="Verdana"/>
          <w:spacing w:val="-3"/>
          <w:sz w:val="20"/>
        </w:rPr>
        <w:t> </w:t>
      </w:r>
      <w:r>
        <w:rPr>
          <w:rFonts w:ascii="Verdana" w:hAnsi="Verdana"/>
          <w:sz w:val="20"/>
        </w:rPr>
        <w:t>misligholdelse.</w:t>
      </w:r>
    </w:p>
    <w:p>
      <w:pPr>
        <w:pStyle w:val="BodyText"/>
        <w:rPr>
          <w:rFonts w:ascii="Verdana"/>
          <w:sz w:val="20"/>
        </w:rPr>
      </w:pPr>
    </w:p>
    <w:p>
      <w:pPr>
        <w:spacing w:before="0"/>
        <w:ind w:left="172" w:right="362" w:firstLine="0"/>
        <w:jc w:val="left"/>
        <w:rPr>
          <w:rFonts w:ascii="Verdana" w:hAnsi="Verdana"/>
          <w:sz w:val="20"/>
        </w:rPr>
      </w:pPr>
      <w:r>
        <w:rPr>
          <w:rFonts w:ascii="Verdana" w:hAnsi="Verdana"/>
          <w:sz w:val="20"/>
        </w:rPr>
        <w:t>Herefter ifalder leverandøren en bod pr. overtrædelse af klausulens afsnit 1. Boden pr. påbegyndt arbejdsdag svarer til op til 2 promille af kontraktsummen, dog minimum 1.000 kr. pr. dag, indtil overtrædelsen er bragt til ophør.</w:t>
      </w:r>
    </w:p>
    <w:p>
      <w:pPr>
        <w:pStyle w:val="BodyText"/>
        <w:rPr>
          <w:rFonts w:ascii="Verdana"/>
          <w:sz w:val="20"/>
        </w:rPr>
      </w:pPr>
    </w:p>
    <w:p>
      <w:pPr>
        <w:spacing w:before="0"/>
        <w:ind w:left="172" w:right="0" w:firstLine="0"/>
        <w:jc w:val="left"/>
        <w:rPr>
          <w:rFonts w:ascii="Verdana" w:hAnsi="Verdana"/>
          <w:sz w:val="20"/>
        </w:rPr>
      </w:pPr>
      <w:r>
        <w:rPr>
          <w:rFonts w:ascii="Verdana" w:hAnsi="Verdana"/>
          <w:sz w:val="20"/>
        </w:rPr>
        <w:t>Beløbet kan modregnes i Leverandørens vederlag.</w:t>
      </w:r>
    </w:p>
    <w:p>
      <w:pPr>
        <w:pStyle w:val="BodyText"/>
        <w:spacing w:before="1"/>
        <w:rPr>
          <w:rFonts w:ascii="Verdana"/>
          <w:sz w:val="20"/>
        </w:rPr>
      </w:pPr>
    </w:p>
    <w:p>
      <w:pPr>
        <w:spacing w:line="243" w:lineRule="exact" w:before="0"/>
        <w:ind w:left="172" w:right="0" w:firstLine="0"/>
        <w:jc w:val="left"/>
        <w:rPr>
          <w:rFonts w:ascii="Verdana" w:hAnsi="Verdana"/>
          <w:sz w:val="20"/>
        </w:rPr>
      </w:pPr>
      <w:r>
        <w:rPr>
          <w:rFonts w:ascii="Verdana" w:hAnsi="Verdana"/>
          <w:sz w:val="20"/>
        </w:rPr>
        <w:t>Ved konkret bodsfastsættelse vil der lægges vægt på følgende:</w:t>
      </w:r>
    </w:p>
    <w:p>
      <w:pPr>
        <w:pStyle w:val="ListParagraph"/>
        <w:numPr>
          <w:ilvl w:val="2"/>
          <w:numId w:val="14"/>
        </w:numPr>
        <w:tabs>
          <w:tab w:pos="894" w:val="left" w:leader="none"/>
        </w:tabs>
        <w:spacing w:line="243" w:lineRule="exact" w:before="0" w:after="0"/>
        <w:ind w:left="893" w:right="0" w:hanging="360"/>
        <w:jc w:val="left"/>
        <w:rPr>
          <w:rFonts w:ascii="Verdana" w:hAnsi="Verdana"/>
          <w:sz w:val="20"/>
        </w:rPr>
      </w:pPr>
      <w:r>
        <w:rPr>
          <w:rFonts w:ascii="Verdana" w:hAnsi="Verdana"/>
          <w:sz w:val="20"/>
        </w:rPr>
        <w:t>Kontraktens genstand og størrelse</w:t>
      </w:r>
    </w:p>
    <w:p>
      <w:pPr>
        <w:pStyle w:val="ListParagraph"/>
        <w:numPr>
          <w:ilvl w:val="2"/>
          <w:numId w:val="14"/>
        </w:numPr>
        <w:tabs>
          <w:tab w:pos="894" w:val="left" w:leader="none"/>
        </w:tabs>
        <w:spacing w:line="243" w:lineRule="exact" w:before="2" w:after="0"/>
        <w:ind w:left="893" w:right="0" w:hanging="360"/>
        <w:jc w:val="left"/>
        <w:rPr>
          <w:rFonts w:ascii="Verdana" w:hAnsi="Verdana"/>
          <w:sz w:val="20"/>
        </w:rPr>
      </w:pPr>
      <w:r>
        <w:rPr>
          <w:rFonts w:ascii="Verdana" w:hAnsi="Verdana"/>
          <w:sz w:val="20"/>
        </w:rPr>
        <w:t>Overtrædelsens karakter og</w:t>
      </w:r>
      <w:r>
        <w:rPr>
          <w:rFonts w:ascii="Verdana" w:hAnsi="Verdana"/>
          <w:spacing w:val="-3"/>
          <w:sz w:val="20"/>
        </w:rPr>
        <w:t> </w:t>
      </w:r>
      <w:r>
        <w:rPr>
          <w:rFonts w:ascii="Verdana" w:hAnsi="Verdana"/>
          <w:sz w:val="20"/>
        </w:rPr>
        <w:t>omfang</w:t>
      </w:r>
    </w:p>
    <w:p>
      <w:pPr>
        <w:pStyle w:val="ListParagraph"/>
        <w:numPr>
          <w:ilvl w:val="2"/>
          <w:numId w:val="14"/>
        </w:numPr>
        <w:tabs>
          <w:tab w:pos="894" w:val="left" w:leader="none"/>
        </w:tabs>
        <w:spacing w:line="243" w:lineRule="exact" w:before="0" w:after="0"/>
        <w:ind w:left="893" w:right="0" w:hanging="360"/>
        <w:jc w:val="left"/>
        <w:rPr>
          <w:rFonts w:ascii="Verdana" w:hAnsi="Verdana"/>
          <w:sz w:val="20"/>
        </w:rPr>
      </w:pPr>
      <w:r>
        <w:rPr>
          <w:rFonts w:ascii="Verdana" w:hAnsi="Verdana"/>
          <w:sz w:val="20"/>
        </w:rPr>
        <w:t>Leverandørens egen medvirken til at bringe overtrædelsen til</w:t>
      </w:r>
      <w:r>
        <w:rPr>
          <w:rFonts w:ascii="Verdana" w:hAnsi="Verdana"/>
          <w:spacing w:val="-5"/>
          <w:sz w:val="20"/>
        </w:rPr>
        <w:t> </w:t>
      </w:r>
      <w:r>
        <w:rPr>
          <w:rFonts w:ascii="Verdana" w:hAnsi="Verdana"/>
          <w:sz w:val="20"/>
        </w:rPr>
        <w:t>ophør.</w:t>
      </w:r>
    </w:p>
    <w:p>
      <w:pPr>
        <w:pStyle w:val="ListParagraph"/>
        <w:numPr>
          <w:ilvl w:val="1"/>
          <w:numId w:val="15"/>
        </w:numPr>
        <w:tabs>
          <w:tab w:pos="596" w:val="left" w:leader="none"/>
        </w:tabs>
        <w:spacing w:line="240" w:lineRule="auto" w:before="199" w:after="0"/>
        <w:ind w:left="172" w:right="729" w:firstLine="0"/>
        <w:jc w:val="left"/>
        <w:rPr>
          <w:rFonts w:ascii="Verdana" w:hAnsi="Verdana"/>
          <w:sz w:val="20"/>
        </w:rPr>
      </w:pPr>
      <w:r>
        <w:rPr>
          <w:rFonts w:ascii="Verdana" w:hAnsi="Verdana"/>
          <w:b/>
          <w:color w:val="4F81BC"/>
          <w:sz w:val="20"/>
        </w:rPr>
        <w:t>Sanktioner ved leverandørens overtrædelse af klausulens afsnit 4</w:t>
      </w:r>
      <w:r>
        <w:rPr>
          <w:rFonts w:ascii="Verdana" w:hAnsi="Verdana"/>
          <w:b/>
          <w:sz w:val="20"/>
        </w:rPr>
        <w:t> </w:t>
      </w:r>
      <w:r>
        <w:rPr>
          <w:rFonts w:ascii="Verdana" w:hAnsi="Verdana"/>
          <w:sz w:val="20"/>
        </w:rPr>
        <w:t>Leverandøren ifalder bod ved overtrædelse af klausulens afsnit 4. Boden pr. påbegyndt arbejdsdag svarer til 2 promille af kontraktsummen, dog minimum 2.000 kr. pr. dag</w:t>
      </w:r>
      <w:r>
        <w:rPr>
          <w:rFonts w:ascii="Verdana" w:hAnsi="Verdana"/>
          <w:spacing w:val="-30"/>
          <w:sz w:val="20"/>
        </w:rPr>
        <w:t> </w:t>
      </w:r>
      <w:r>
        <w:rPr>
          <w:rFonts w:ascii="Verdana" w:hAnsi="Verdana"/>
          <w:sz w:val="20"/>
        </w:rPr>
        <w:t>indtil</w:t>
      </w:r>
    </w:p>
    <w:p>
      <w:pPr>
        <w:spacing w:before="0"/>
        <w:ind w:left="172" w:right="300" w:firstLine="0"/>
        <w:jc w:val="left"/>
        <w:rPr>
          <w:rFonts w:ascii="Verdana" w:hAnsi="Verdana"/>
          <w:sz w:val="20"/>
        </w:rPr>
      </w:pPr>
      <w:r>
        <w:rPr>
          <w:rFonts w:ascii="Verdana" w:hAnsi="Verdana"/>
          <w:sz w:val="20"/>
        </w:rPr>
        <w:t>Leverandøren har imødekommet Ordregivers påkrav. Beløbet kan modregnes i Leverandørens vederlag.</w:t>
      </w:r>
    </w:p>
    <w:p>
      <w:pPr>
        <w:pStyle w:val="ListParagraph"/>
        <w:numPr>
          <w:ilvl w:val="1"/>
          <w:numId w:val="15"/>
        </w:numPr>
        <w:tabs>
          <w:tab w:pos="598" w:val="left" w:leader="none"/>
        </w:tabs>
        <w:spacing w:line="243" w:lineRule="exact" w:before="201" w:after="0"/>
        <w:ind w:left="597" w:right="0" w:hanging="425"/>
        <w:jc w:val="left"/>
        <w:rPr>
          <w:rFonts w:ascii="Verdana"/>
          <w:b/>
          <w:sz w:val="20"/>
        </w:rPr>
      </w:pPr>
      <w:r>
        <w:rPr>
          <w:rFonts w:ascii="Verdana"/>
          <w:b/>
          <w:color w:val="4F81BC"/>
          <w:sz w:val="20"/>
        </w:rPr>
        <w:t>Bortfald af bod og</w:t>
      </w:r>
      <w:r>
        <w:rPr>
          <w:rFonts w:ascii="Verdana"/>
          <w:b/>
          <w:color w:val="4F81BC"/>
          <w:spacing w:val="-1"/>
          <w:sz w:val="20"/>
        </w:rPr>
        <w:t> </w:t>
      </w:r>
      <w:r>
        <w:rPr>
          <w:rFonts w:ascii="Verdana"/>
          <w:b/>
          <w:color w:val="4F81BC"/>
          <w:sz w:val="20"/>
        </w:rPr>
        <w:t>tilbagebetaling</w:t>
      </w:r>
    </w:p>
    <w:p>
      <w:pPr>
        <w:spacing w:before="0"/>
        <w:ind w:left="172" w:right="432" w:firstLine="0"/>
        <w:jc w:val="left"/>
        <w:rPr>
          <w:rFonts w:ascii="Verdana" w:hAnsi="Verdana"/>
          <w:sz w:val="20"/>
        </w:rPr>
      </w:pPr>
      <w:r>
        <w:rPr>
          <w:rFonts w:ascii="Verdana" w:hAnsi="Verdana"/>
          <w:sz w:val="20"/>
        </w:rPr>
        <w:t>Såfremt Leverandøren har udvist rettidig omhu bortfalder bod efter nr. 5.1-5.3, der beror på en underleverandørs overtrædelse af nærværende klausul.</w:t>
      </w:r>
    </w:p>
    <w:p>
      <w:pPr>
        <w:pStyle w:val="BodyText"/>
        <w:spacing w:before="12"/>
        <w:rPr>
          <w:rFonts w:ascii="Verdana"/>
          <w:sz w:val="19"/>
        </w:rPr>
      </w:pPr>
    </w:p>
    <w:p>
      <w:pPr>
        <w:spacing w:before="0"/>
        <w:ind w:left="172" w:right="0" w:firstLine="0"/>
        <w:jc w:val="left"/>
        <w:rPr>
          <w:rFonts w:ascii="Verdana" w:hAnsi="Verdana"/>
          <w:sz w:val="20"/>
        </w:rPr>
      </w:pPr>
      <w:r>
        <w:rPr>
          <w:rFonts w:ascii="Verdana" w:hAnsi="Verdana"/>
          <w:sz w:val="20"/>
        </w:rPr>
        <w:t>Følgende forhold er eksempler på elementer, der efter en konkret vurdering kan indgå i Ordregivers vurdering af, om Leverandøren har udvist rettidig omhu:</w:t>
      </w:r>
    </w:p>
    <w:p>
      <w:pPr>
        <w:pStyle w:val="ListParagraph"/>
        <w:numPr>
          <w:ilvl w:val="2"/>
          <w:numId w:val="15"/>
        </w:numPr>
        <w:tabs>
          <w:tab w:pos="894" w:val="left" w:leader="none"/>
        </w:tabs>
        <w:spacing w:line="240" w:lineRule="auto" w:before="1" w:after="0"/>
        <w:ind w:left="893" w:right="399" w:hanging="360"/>
        <w:jc w:val="left"/>
        <w:rPr>
          <w:rFonts w:ascii="Verdana" w:hAnsi="Verdana"/>
          <w:sz w:val="20"/>
        </w:rPr>
      </w:pPr>
      <w:r>
        <w:rPr>
          <w:rFonts w:ascii="Verdana" w:hAnsi="Verdana"/>
          <w:sz w:val="20"/>
        </w:rPr>
        <w:t>Leverandøren har etableret de nødvendige systemer og foranstaltninger til effektivt</w:t>
      </w:r>
      <w:r>
        <w:rPr>
          <w:rFonts w:ascii="Verdana" w:hAnsi="Verdana"/>
          <w:spacing w:val="-35"/>
          <w:sz w:val="20"/>
        </w:rPr>
        <w:t> </w:t>
      </w:r>
      <w:r>
        <w:rPr>
          <w:rFonts w:ascii="Verdana" w:hAnsi="Verdana"/>
          <w:sz w:val="20"/>
        </w:rPr>
        <w:t>at kontrollere, at nærværende klausul bliver overholdt af</w:t>
      </w:r>
      <w:r>
        <w:rPr>
          <w:rFonts w:ascii="Verdana" w:hAnsi="Verdana"/>
          <w:spacing w:val="-12"/>
          <w:sz w:val="20"/>
        </w:rPr>
        <w:t> </w:t>
      </w:r>
      <w:r>
        <w:rPr>
          <w:rFonts w:ascii="Verdana" w:hAnsi="Verdana"/>
          <w:sz w:val="20"/>
        </w:rPr>
        <w:t>underleverandører,</w:t>
      </w:r>
    </w:p>
    <w:p>
      <w:pPr>
        <w:pStyle w:val="ListParagraph"/>
        <w:numPr>
          <w:ilvl w:val="2"/>
          <w:numId w:val="15"/>
        </w:numPr>
        <w:tabs>
          <w:tab w:pos="894" w:val="left" w:leader="none"/>
        </w:tabs>
        <w:spacing w:line="240" w:lineRule="auto" w:before="0" w:after="0"/>
        <w:ind w:left="893" w:right="535" w:hanging="360"/>
        <w:jc w:val="left"/>
        <w:rPr>
          <w:rFonts w:ascii="Verdana" w:hAnsi="Verdana"/>
          <w:sz w:val="20"/>
        </w:rPr>
      </w:pPr>
      <w:r>
        <w:rPr>
          <w:rFonts w:ascii="Verdana" w:hAnsi="Verdana"/>
          <w:sz w:val="20"/>
        </w:rPr>
        <w:t>underleverandøren er medlem af en arbejdsgiverorganisation og overholder de deraf følgende</w:t>
      </w:r>
      <w:r>
        <w:rPr>
          <w:rFonts w:ascii="Verdana" w:hAnsi="Verdana"/>
          <w:spacing w:val="-3"/>
          <w:sz w:val="20"/>
        </w:rPr>
        <w:t> </w:t>
      </w:r>
      <w:r>
        <w:rPr>
          <w:rFonts w:ascii="Verdana" w:hAnsi="Verdana"/>
          <w:sz w:val="20"/>
        </w:rPr>
        <w:t>forpligtelser,</w:t>
      </w:r>
    </w:p>
    <w:p>
      <w:pPr>
        <w:pStyle w:val="ListParagraph"/>
        <w:numPr>
          <w:ilvl w:val="2"/>
          <w:numId w:val="15"/>
        </w:numPr>
        <w:tabs>
          <w:tab w:pos="894" w:val="left" w:leader="none"/>
        </w:tabs>
        <w:spacing w:line="240" w:lineRule="auto" w:before="0" w:after="0"/>
        <w:ind w:left="893" w:right="417" w:hanging="360"/>
        <w:jc w:val="left"/>
        <w:rPr>
          <w:rFonts w:ascii="Verdana" w:hAnsi="Verdana"/>
          <w:sz w:val="20"/>
        </w:rPr>
      </w:pPr>
      <w:r>
        <w:rPr>
          <w:rFonts w:ascii="Verdana" w:hAnsi="Verdana"/>
          <w:sz w:val="20"/>
        </w:rPr>
        <w:t>kontrol af om underleverandørers udstationerede arbejdstagere fremgår af listen</w:t>
      </w:r>
      <w:r>
        <w:rPr>
          <w:rFonts w:ascii="Verdana" w:hAnsi="Verdana"/>
          <w:spacing w:val="-31"/>
          <w:sz w:val="20"/>
        </w:rPr>
        <w:t> </w:t>
      </w:r>
      <w:r>
        <w:rPr>
          <w:rFonts w:ascii="Verdana" w:hAnsi="Verdana"/>
          <w:sz w:val="20"/>
        </w:rPr>
        <w:t>over tjenesteydere, der tidligere har medført udbetalinger fra Arbejdsmarkedets Fond for Udstationerede</w:t>
      </w:r>
      <w:r>
        <w:rPr>
          <w:rFonts w:ascii="Verdana" w:hAnsi="Verdana"/>
          <w:spacing w:val="-3"/>
          <w:sz w:val="20"/>
        </w:rPr>
        <w:t> </w:t>
      </w:r>
      <w:r>
        <w:rPr>
          <w:rFonts w:ascii="Verdana" w:hAnsi="Verdana"/>
          <w:sz w:val="20"/>
        </w:rPr>
        <w:t>tjenesteydere,</w:t>
      </w:r>
    </w:p>
    <w:p>
      <w:pPr>
        <w:pStyle w:val="ListParagraph"/>
        <w:numPr>
          <w:ilvl w:val="2"/>
          <w:numId w:val="15"/>
        </w:numPr>
        <w:tabs>
          <w:tab w:pos="894" w:val="left" w:leader="none"/>
        </w:tabs>
        <w:spacing w:line="240" w:lineRule="auto" w:before="0" w:after="0"/>
        <w:ind w:left="893" w:right="0" w:hanging="360"/>
        <w:jc w:val="left"/>
        <w:rPr>
          <w:rFonts w:ascii="Verdana" w:hAnsi="Verdana"/>
          <w:sz w:val="20"/>
        </w:rPr>
      </w:pPr>
      <w:r>
        <w:rPr>
          <w:rFonts w:ascii="Verdana" w:hAnsi="Verdana"/>
          <w:sz w:val="20"/>
        </w:rPr>
        <w:t>kontrol af om underleverandører er korrekt registreret hos</w:t>
      </w:r>
      <w:r>
        <w:rPr>
          <w:rFonts w:ascii="Verdana" w:hAnsi="Verdana"/>
          <w:spacing w:val="-5"/>
          <w:sz w:val="20"/>
        </w:rPr>
        <w:t> </w:t>
      </w:r>
      <w:r>
        <w:rPr>
          <w:rFonts w:ascii="Verdana" w:hAnsi="Verdana"/>
          <w:sz w:val="20"/>
        </w:rPr>
        <w:t>RUT.</w:t>
      </w:r>
    </w:p>
    <w:p>
      <w:pPr>
        <w:pStyle w:val="BodyText"/>
        <w:spacing w:before="11"/>
        <w:rPr>
          <w:rFonts w:ascii="Verdana"/>
          <w:sz w:val="19"/>
        </w:rPr>
      </w:pPr>
    </w:p>
    <w:p>
      <w:pPr>
        <w:spacing w:before="0"/>
        <w:ind w:left="172" w:right="665" w:firstLine="0"/>
        <w:jc w:val="left"/>
        <w:rPr>
          <w:rFonts w:ascii="Verdana" w:hAnsi="Verdana"/>
          <w:sz w:val="20"/>
        </w:rPr>
      </w:pPr>
      <w:r>
        <w:rPr>
          <w:rFonts w:ascii="Verdana" w:hAnsi="Verdana"/>
          <w:sz w:val="20"/>
        </w:rPr>
        <w:t>Såfremt en fagretlig kendelse fastslår at forpligtelsen i overenskomsten ikke var tilsidesat, tilbagebetales opkrævet bod (tilbageholdt vederlag).</w:t>
      </w:r>
    </w:p>
    <w:sectPr>
      <w:pgSz w:w="11910" w:h="16850"/>
      <w:pgMar w:header="0" w:footer="679" w:top="1360" w:bottom="8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type id="_x0000_t202" o:spt="202" coordsize="21600,21600" path="m,l,21600r21600,l21600,xe">
          <v:stroke joinstyle="miter"/>
          <v:path gradientshapeok="t" o:connecttype="rect"/>
        </v:shapetype>
        <v:shape style="position:absolute;margin-left:528.26001pt;margin-top:796.127686pt;width:12.65pt;height:11.45pt;mso-position-horizontal-relative:page;mso-position-vertical-relative:page;z-index:-10936" type="#_x0000_t202" filled="false" stroked="false">
          <v:textbox inset="0,0,0,0">
            <w:txbxContent>
              <w:p>
                <w:pPr>
                  <w:spacing w:before="13"/>
                  <w:ind w:left="40" w:right="0" w:firstLine="0"/>
                  <w:jc w:val="left"/>
                  <w:rPr>
                    <w:sz w:val="17"/>
                  </w:rPr>
                </w:pPr>
                <w:r>
                  <w:rPr/>
                  <w:fldChar w:fldCharType="begin"/>
                </w:r>
                <w:r>
                  <w:rPr>
                    <w:sz w:val="17"/>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
      <w:numFmt w:val="decimal"/>
      <w:lvlText w:val="%1"/>
      <w:lvlJc w:val="left"/>
      <w:pPr>
        <w:ind w:left="172" w:hanging="423"/>
        <w:jc w:val="left"/>
      </w:pPr>
      <w:rPr>
        <w:rFonts w:hint="default"/>
        <w:lang w:val="da-DY" w:eastAsia="da-DY" w:bidi="da-DY"/>
      </w:rPr>
    </w:lvl>
    <w:lvl w:ilvl="1">
      <w:start w:val="3"/>
      <w:numFmt w:val="decimal"/>
      <w:lvlText w:val="%1.%2"/>
      <w:lvlJc w:val="left"/>
      <w:pPr>
        <w:ind w:left="172" w:hanging="423"/>
        <w:jc w:val="left"/>
      </w:pPr>
      <w:rPr>
        <w:rFonts w:hint="default" w:ascii="Verdana" w:hAnsi="Verdana" w:eastAsia="Verdana" w:cs="Verdana"/>
        <w:b/>
        <w:bCs/>
        <w:color w:val="4F81BC"/>
        <w:w w:val="99"/>
        <w:sz w:val="20"/>
        <w:szCs w:val="20"/>
        <w:lang w:val="da-DY" w:eastAsia="da-DY" w:bidi="da-DY"/>
      </w:rPr>
    </w:lvl>
    <w:lvl w:ilvl="2">
      <w:start w:val="1"/>
      <w:numFmt w:val="decimal"/>
      <w:lvlText w:val="%3."/>
      <w:lvlJc w:val="left"/>
      <w:pPr>
        <w:ind w:left="893" w:hanging="360"/>
        <w:jc w:val="left"/>
      </w:pPr>
      <w:rPr>
        <w:rFonts w:hint="default" w:ascii="Verdana" w:hAnsi="Verdana" w:eastAsia="Verdana" w:cs="Verdana"/>
        <w:w w:val="99"/>
        <w:sz w:val="20"/>
        <w:szCs w:val="20"/>
        <w:lang w:val="da-DY" w:eastAsia="da-DY" w:bidi="da-DY"/>
      </w:rPr>
    </w:lvl>
    <w:lvl w:ilvl="3">
      <w:start w:val="0"/>
      <w:numFmt w:val="bullet"/>
      <w:lvlText w:val="•"/>
      <w:lvlJc w:val="left"/>
      <w:pPr>
        <w:ind w:left="2919" w:hanging="360"/>
      </w:pPr>
      <w:rPr>
        <w:rFonts w:hint="default"/>
        <w:lang w:val="da-DY" w:eastAsia="da-DY" w:bidi="da-DY"/>
      </w:rPr>
    </w:lvl>
    <w:lvl w:ilvl="4">
      <w:start w:val="0"/>
      <w:numFmt w:val="bullet"/>
      <w:lvlText w:val="•"/>
      <w:lvlJc w:val="left"/>
      <w:pPr>
        <w:ind w:left="3928" w:hanging="360"/>
      </w:pPr>
      <w:rPr>
        <w:rFonts w:hint="default"/>
        <w:lang w:val="da-DY" w:eastAsia="da-DY" w:bidi="da-DY"/>
      </w:rPr>
    </w:lvl>
    <w:lvl w:ilvl="5">
      <w:start w:val="0"/>
      <w:numFmt w:val="bullet"/>
      <w:lvlText w:val="•"/>
      <w:lvlJc w:val="left"/>
      <w:pPr>
        <w:ind w:left="4938" w:hanging="360"/>
      </w:pPr>
      <w:rPr>
        <w:rFonts w:hint="default"/>
        <w:lang w:val="da-DY" w:eastAsia="da-DY" w:bidi="da-DY"/>
      </w:rPr>
    </w:lvl>
    <w:lvl w:ilvl="6">
      <w:start w:val="0"/>
      <w:numFmt w:val="bullet"/>
      <w:lvlText w:val="•"/>
      <w:lvlJc w:val="left"/>
      <w:pPr>
        <w:ind w:left="5948" w:hanging="360"/>
      </w:pPr>
      <w:rPr>
        <w:rFonts w:hint="default"/>
        <w:lang w:val="da-DY" w:eastAsia="da-DY" w:bidi="da-DY"/>
      </w:rPr>
    </w:lvl>
    <w:lvl w:ilvl="7">
      <w:start w:val="0"/>
      <w:numFmt w:val="bullet"/>
      <w:lvlText w:val="•"/>
      <w:lvlJc w:val="left"/>
      <w:pPr>
        <w:ind w:left="6957" w:hanging="360"/>
      </w:pPr>
      <w:rPr>
        <w:rFonts w:hint="default"/>
        <w:lang w:val="da-DY" w:eastAsia="da-DY" w:bidi="da-DY"/>
      </w:rPr>
    </w:lvl>
    <w:lvl w:ilvl="8">
      <w:start w:val="0"/>
      <w:numFmt w:val="bullet"/>
      <w:lvlText w:val="•"/>
      <w:lvlJc w:val="left"/>
      <w:pPr>
        <w:ind w:left="7967" w:hanging="360"/>
      </w:pPr>
      <w:rPr>
        <w:rFonts w:hint="default"/>
        <w:lang w:val="da-DY" w:eastAsia="da-DY" w:bidi="da-DY"/>
      </w:rPr>
    </w:lvl>
  </w:abstractNum>
  <w:abstractNum w:abstractNumId="13">
    <w:multiLevelType w:val="hybridMultilevel"/>
    <w:lvl w:ilvl="0">
      <w:start w:val="5"/>
      <w:numFmt w:val="decimal"/>
      <w:lvlText w:val="%1"/>
      <w:lvlJc w:val="left"/>
      <w:pPr>
        <w:ind w:left="667" w:hanging="495"/>
        <w:jc w:val="left"/>
      </w:pPr>
      <w:rPr>
        <w:rFonts w:hint="default"/>
        <w:lang w:val="da-DY" w:eastAsia="da-DY" w:bidi="da-DY"/>
      </w:rPr>
    </w:lvl>
    <w:lvl w:ilvl="1">
      <w:start w:val="1"/>
      <w:numFmt w:val="decimal"/>
      <w:lvlText w:val="%1.%2."/>
      <w:lvlJc w:val="left"/>
      <w:pPr>
        <w:ind w:left="667" w:hanging="495"/>
        <w:jc w:val="left"/>
      </w:pPr>
      <w:rPr>
        <w:rFonts w:hint="default" w:ascii="Verdana" w:hAnsi="Verdana" w:eastAsia="Verdana" w:cs="Verdana"/>
        <w:b/>
        <w:bCs/>
        <w:color w:val="4F81BC"/>
        <w:w w:val="99"/>
        <w:sz w:val="20"/>
        <w:szCs w:val="20"/>
        <w:lang w:val="da-DY" w:eastAsia="da-DY" w:bidi="da-DY"/>
      </w:rPr>
    </w:lvl>
    <w:lvl w:ilvl="2">
      <w:start w:val="1"/>
      <w:numFmt w:val="decimal"/>
      <w:lvlText w:val="%3."/>
      <w:lvlJc w:val="left"/>
      <w:pPr>
        <w:ind w:left="893" w:hanging="360"/>
        <w:jc w:val="left"/>
      </w:pPr>
      <w:rPr>
        <w:rFonts w:hint="default" w:ascii="Verdana" w:hAnsi="Verdana" w:eastAsia="Verdana" w:cs="Verdana"/>
        <w:w w:val="99"/>
        <w:sz w:val="20"/>
        <w:szCs w:val="20"/>
        <w:lang w:val="da-DY" w:eastAsia="da-DY" w:bidi="da-DY"/>
      </w:rPr>
    </w:lvl>
    <w:lvl w:ilvl="3">
      <w:start w:val="0"/>
      <w:numFmt w:val="bullet"/>
      <w:lvlText w:val="•"/>
      <w:lvlJc w:val="left"/>
      <w:pPr>
        <w:ind w:left="2919" w:hanging="360"/>
      </w:pPr>
      <w:rPr>
        <w:rFonts w:hint="default"/>
        <w:lang w:val="da-DY" w:eastAsia="da-DY" w:bidi="da-DY"/>
      </w:rPr>
    </w:lvl>
    <w:lvl w:ilvl="4">
      <w:start w:val="0"/>
      <w:numFmt w:val="bullet"/>
      <w:lvlText w:val="•"/>
      <w:lvlJc w:val="left"/>
      <w:pPr>
        <w:ind w:left="3928" w:hanging="360"/>
      </w:pPr>
      <w:rPr>
        <w:rFonts w:hint="default"/>
        <w:lang w:val="da-DY" w:eastAsia="da-DY" w:bidi="da-DY"/>
      </w:rPr>
    </w:lvl>
    <w:lvl w:ilvl="5">
      <w:start w:val="0"/>
      <w:numFmt w:val="bullet"/>
      <w:lvlText w:val="•"/>
      <w:lvlJc w:val="left"/>
      <w:pPr>
        <w:ind w:left="4938" w:hanging="360"/>
      </w:pPr>
      <w:rPr>
        <w:rFonts w:hint="default"/>
        <w:lang w:val="da-DY" w:eastAsia="da-DY" w:bidi="da-DY"/>
      </w:rPr>
    </w:lvl>
    <w:lvl w:ilvl="6">
      <w:start w:val="0"/>
      <w:numFmt w:val="bullet"/>
      <w:lvlText w:val="•"/>
      <w:lvlJc w:val="left"/>
      <w:pPr>
        <w:ind w:left="5948" w:hanging="360"/>
      </w:pPr>
      <w:rPr>
        <w:rFonts w:hint="default"/>
        <w:lang w:val="da-DY" w:eastAsia="da-DY" w:bidi="da-DY"/>
      </w:rPr>
    </w:lvl>
    <w:lvl w:ilvl="7">
      <w:start w:val="0"/>
      <w:numFmt w:val="bullet"/>
      <w:lvlText w:val="•"/>
      <w:lvlJc w:val="left"/>
      <w:pPr>
        <w:ind w:left="6957" w:hanging="360"/>
      </w:pPr>
      <w:rPr>
        <w:rFonts w:hint="default"/>
        <w:lang w:val="da-DY" w:eastAsia="da-DY" w:bidi="da-DY"/>
      </w:rPr>
    </w:lvl>
    <w:lvl w:ilvl="8">
      <w:start w:val="0"/>
      <w:numFmt w:val="bullet"/>
      <w:lvlText w:val="•"/>
      <w:lvlJc w:val="left"/>
      <w:pPr>
        <w:ind w:left="7967" w:hanging="360"/>
      </w:pPr>
      <w:rPr>
        <w:rFonts w:hint="default"/>
        <w:lang w:val="da-DY" w:eastAsia="da-DY" w:bidi="da-DY"/>
      </w:rPr>
    </w:lvl>
  </w:abstractNum>
  <w:abstractNum w:abstractNumId="12">
    <w:multiLevelType w:val="hybridMultilevel"/>
    <w:lvl w:ilvl="0">
      <w:start w:val="4"/>
      <w:numFmt w:val="decimal"/>
      <w:lvlText w:val="%1"/>
      <w:lvlJc w:val="left"/>
      <w:pPr>
        <w:ind w:left="595" w:hanging="423"/>
        <w:jc w:val="left"/>
      </w:pPr>
      <w:rPr>
        <w:rFonts w:hint="default"/>
        <w:lang w:val="da-DY" w:eastAsia="da-DY" w:bidi="da-DY"/>
      </w:rPr>
    </w:lvl>
    <w:lvl w:ilvl="1">
      <w:start w:val="4"/>
      <w:numFmt w:val="decimal"/>
      <w:lvlText w:val="%1.%2"/>
      <w:lvlJc w:val="left"/>
      <w:pPr>
        <w:ind w:left="595" w:hanging="423"/>
        <w:jc w:val="left"/>
      </w:pPr>
      <w:rPr>
        <w:rFonts w:hint="default" w:ascii="Verdana" w:hAnsi="Verdana" w:eastAsia="Verdana" w:cs="Verdana"/>
        <w:b/>
        <w:bCs/>
        <w:color w:val="4F81BC"/>
        <w:w w:val="99"/>
        <w:sz w:val="20"/>
        <w:szCs w:val="20"/>
        <w:lang w:val="da-DY" w:eastAsia="da-DY" w:bidi="da-DY"/>
      </w:rPr>
    </w:lvl>
    <w:lvl w:ilvl="2">
      <w:start w:val="0"/>
      <w:numFmt w:val="bullet"/>
      <w:lvlText w:val="•"/>
      <w:lvlJc w:val="left"/>
      <w:pPr>
        <w:ind w:left="2477" w:hanging="423"/>
      </w:pPr>
      <w:rPr>
        <w:rFonts w:hint="default"/>
        <w:lang w:val="da-DY" w:eastAsia="da-DY" w:bidi="da-DY"/>
      </w:rPr>
    </w:lvl>
    <w:lvl w:ilvl="3">
      <w:start w:val="0"/>
      <w:numFmt w:val="bullet"/>
      <w:lvlText w:val="•"/>
      <w:lvlJc w:val="left"/>
      <w:pPr>
        <w:ind w:left="3415" w:hanging="423"/>
      </w:pPr>
      <w:rPr>
        <w:rFonts w:hint="default"/>
        <w:lang w:val="da-DY" w:eastAsia="da-DY" w:bidi="da-DY"/>
      </w:rPr>
    </w:lvl>
    <w:lvl w:ilvl="4">
      <w:start w:val="0"/>
      <w:numFmt w:val="bullet"/>
      <w:lvlText w:val="•"/>
      <w:lvlJc w:val="left"/>
      <w:pPr>
        <w:ind w:left="4354" w:hanging="423"/>
      </w:pPr>
      <w:rPr>
        <w:rFonts w:hint="default"/>
        <w:lang w:val="da-DY" w:eastAsia="da-DY" w:bidi="da-DY"/>
      </w:rPr>
    </w:lvl>
    <w:lvl w:ilvl="5">
      <w:start w:val="0"/>
      <w:numFmt w:val="bullet"/>
      <w:lvlText w:val="•"/>
      <w:lvlJc w:val="left"/>
      <w:pPr>
        <w:ind w:left="5293" w:hanging="423"/>
      </w:pPr>
      <w:rPr>
        <w:rFonts w:hint="default"/>
        <w:lang w:val="da-DY" w:eastAsia="da-DY" w:bidi="da-DY"/>
      </w:rPr>
    </w:lvl>
    <w:lvl w:ilvl="6">
      <w:start w:val="0"/>
      <w:numFmt w:val="bullet"/>
      <w:lvlText w:val="•"/>
      <w:lvlJc w:val="left"/>
      <w:pPr>
        <w:ind w:left="6231" w:hanging="423"/>
      </w:pPr>
      <w:rPr>
        <w:rFonts w:hint="default"/>
        <w:lang w:val="da-DY" w:eastAsia="da-DY" w:bidi="da-DY"/>
      </w:rPr>
    </w:lvl>
    <w:lvl w:ilvl="7">
      <w:start w:val="0"/>
      <w:numFmt w:val="bullet"/>
      <w:lvlText w:val="•"/>
      <w:lvlJc w:val="left"/>
      <w:pPr>
        <w:ind w:left="7170" w:hanging="423"/>
      </w:pPr>
      <w:rPr>
        <w:rFonts w:hint="default"/>
        <w:lang w:val="da-DY" w:eastAsia="da-DY" w:bidi="da-DY"/>
      </w:rPr>
    </w:lvl>
    <w:lvl w:ilvl="8">
      <w:start w:val="0"/>
      <w:numFmt w:val="bullet"/>
      <w:lvlText w:val="•"/>
      <w:lvlJc w:val="left"/>
      <w:pPr>
        <w:ind w:left="8109" w:hanging="423"/>
      </w:pPr>
      <w:rPr>
        <w:rFonts w:hint="default"/>
        <w:lang w:val="da-DY" w:eastAsia="da-DY" w:bidi="da-DY"/>
      </w:rPr>
    </w:lvl>
  </w:abstractNum>
  <w:abstractNum w:abstractNumId="11">
    <w:multiLevelType w:val="hybridMultilevel"/>
    <w:lvl w:ilvl="0">
      <w:start w:val="4"/>
      <w:numFmt w:val="decimal"/>
      <w:lvlText w:val="%1"/>
      <w:lvlJc w:val="left"/>
      <w:pPr>
        <w:ind w:left="667" w:hanging="495"/>
        <w:jc w:val="left"/>
      </w:pPr>
      <w:rPr>
        <w:rFonts w:hint="default"/>
        <w:lang w:val="da-DY" w:eastAsia="da-DY" w:bidi="da-DY"/>
      </w:rPr>
    </w:lvl>
    <w:lvl w:ilvl="1">
      <w:start w:val="1"/>
      <w:numFmt w:val="decimal"/>
      <w:lvlText w:val="%1.%2."/>
      <w:lvlJc w:val="left"/>
      <w:pPr>
        <w:ind w:left="667" w:hanging="495"/>
        <w:jc w:val="left"/>
      </w:pPr>
      <w:rPr>
        <w:rFonts w:hint="default" w:ascii="Verdana" w:hAnsi="Verdana" w:eastAsia="Verdana" w:cs="Verdana"/>
        <w:b/>
        <w:bCs/>
        <w:color w:val="4F81BC"/>
        <w:w w:val="99"/>
        <w:sz w:val="20"/>
        <w:szCs w:val="20"/>
        <w:lang w:val="da-DY" w:eastAsia="da-DY" w:bidi="da-DY"/>
      </w:rPr>
    </w:lvl>
    <w:lvl w:ilvl="2">
      <w:start w:val="0"/>
      <w:numFmt w:val="bullet"/>
      <w:lvlText w:val="•"/>
      <w:lvlJc w:val="left"/>
      <w:pPr>
        <w:ind w:left="2525" w:hanging="495"/>
      </w:pPr>
      <w:rPr>
        <w:rFonts w:hint="default"/>
        <w:lang w:val="da-DY" w:eastAsia="da-DY" w:bidi="da-DY"/>
      </w:rPr>
    </w:lvl>
    <w:lvl w:ilvl="3">
      <w:start w:val="0"/>
      <w:numFmt w:val="bullet"/>
      <w:lvlText w:val="•"/>
      <w:lvlJc w:val="left"/>
      <w:pPr>
        <w:ind w:left="3457" w:hanging="495"/>
      </w:pPr>
      <w:rPr>
        <w:rFonts w:hint="default"/>
        <w:lang w:val="da-DY" w:eastAsia="da-DY" w:bidi="da-DY"/>
      </w:rPr>
    </w:lvl>
    <w:lvl w:ilvl="4">
      <w:start w:val="0"/>
      <w:numFmt w:val="bullet"/>
      <w:lvlText w:val="•"/>
      <w:lvlJc w:val="left"/>
      <w:pPr>
        <w:ind w:left="4390" w:hanging="495"/>
      </w:pPr>
      <w:rPr>
        <w:rFonts w:hint="default"/>
        <w:lang w:val="da-DY" w:eastAsia="da-DY" w:bidi="da-DY"/>
      </w:rPr>
    </w:lvl>
    <w:lvl w:ilvl="5">
      <w:start w:val="0"/>
      <w:numFmt w:val="bullet"/>
      <w:lvlText w:val="•"/>
      <w:lvlJc w:val="left"/>
      <w:pPr>
        <w:ind w:left="5323" w:hanging="495"/>
      </w:pPr>
      <w:rPr>
        <w:rFonts w:hint="default"/>
        <w:lang w:val="da-DY" w:eastAsia="da-DY" w:bidi="da-DY"/>
      </w:rPr>
    </w:lvl>
    <w:lvl w:ilvl="6">
      <w:start w:val="0"/>
      <w:numFmt w:val="bullet"/>
      <w:lvlText w:val="•"/>
      <w:lvlJc w:val="left"/>
      <w:pPr>
        <w:ind w:left="6255" w:hanging="495"/>
      </w:pPr>
      <w:rPr>
        <w:rFonts w:hint="default"/>
        <w:lang w:val="da-DY" w:eastAsia="da-DY" w:bidi="da-DY"/>
      </w:rPr>
    </w:lvl>
    <w:lvl w:ilvl="7">
      <w:start w:val="0"/>
      <w:numFmt w:val="bullet"/>
      <w:lvlText w:val="•"/>
      <w:lvlJc w:val="left"/>
      <w:pPr>
        <w:ind w:left="7188" w:hanging="495"/>
      </w:pPr>
      <w:rPr>
        <w:rFonts w:hint="default"/>
        <w:lang w:val="da-DY" w:eastAsia="da-DY" w:bidi="da-DY"/>
      </w:rPr>
    </w:lvl>
    <w:lvl w:ilvl="8">
      <w:start w:val="0"/>
      <w:numFmt w:val="bullet"/>
      <w:lvlText w:val="•"/>
      <w:lvlJc w:val="left"/>
      <w:pPr>
        <w:ind w:left="8121" w:hanging="495"/>
      </w:pPr>
      <w:rPr>
        <w:rFonts w:hint="default"/>
        <w:lang w:val="da-DY" w:eastAsia="da-DY" w:bidi="da-DY"/>
      </w:rPr>
    </w:lvl>
  </w:abstractNum>
  <w:abstractNum w:abstractNumId="10">
    <w:multiLevelType w:val="hybridMultilevel"/>
    <w:lvl w:ilvl="0">
      <w:start w:val="1"/>
      <w:numFmt w:val="decimal"/>
      <w:lvlText w:val="%1."/>
      <w:lvlJc w:val="left"/>
      <w:pPr>
        <w:ind w:left="453" w:hanging="281"/>
        <w:jc w:val="left"/>
      </w:pPr>
      <w:rPr>
        <w:rFonts w:hint="default" w:ascii="Verdana" w:hAnsi="Verdana" w:eastAsia="Verdana" w:cs="Verdana"/>
        <w:b/>
        <w:bCs/>
        <w:color w:val="4F81BC"/>
        <w:w w:val="99"/>
        <w:sz w:val="20"/>
        <w:szCs w:val="20"/>
        <w:lang w:val="da-DY" w:eastAsia="da-DY" w:bidi="da-DY"/>
      </w:rPr>
    </w:lvl>
    <w:lvl w:ilvl="1">
      <w:start w:val="1"/>
      <w:numFmt w:val="decimal"/>
      <w:lvlText w:val="%1.%2"/>
      <w:lvlJc w:val="left"/>
      <w:pPr>
        <w:ind w:left="595" w:hanging="423"/>
        <w:jc w:val="left"/>
      </w:pPr>
      <w:rPr>
        <w:rFonts w:hint="default" w:ascii="Verdana" w:hAnsi="Verdana" w:eastAsia="Verdana" w:cs="Verdana"/>
        <w:b/>
        <w:bCs/>
        <w:color w:val="4F81BC"/>
        <w:w w:val="99"/>
        <w:sz w:val="20"/>
        <w:szCs w:val="20"/>
        <w:lang w:val="da-DY" w:eastAsia="da-DY" w:bidi="da-DY"/>
      </w:rPr>
    </w:lvl>
    <w:lvl w:ilvl="2">
      <w:start w:val="0"/>
      <w:numFmt w:val="bullet"/>
      <w:lvlText w:val="•"/>
      <w:lvlJc w:val="left"/>
      <w:pPr>
        <w:ind w:left="1642" w:hanging="423"/>
      </w:pPr>
      <w:rPr>
        <w:rFonts w:hint="default"/>
        <w:lang w:val="da-DY" w:eastAsia="da-DY" w:bidi="da-DY"/>
      </w:rPr>
    </w:lvl>
    <w:lvl w:ilvl="3">
      <w:start w:val="0"/>
      <w:numFmt w:val="bullet"/>
      <w:lvlText w:val="•"/>
      <w:lvlJc w:val="left"/>
      <w:pPr>
        <w:ind w:left="2685" w:hanging="423"/>
      </w:pPr>
      <w:rPr>
        <w:rFonts w:hint="default"/>
        <w:lang w:val="da-DY" w:eastAsia="da-DY" w:bidi="da-DY"/>
      </w:rPr>
    </w:lvl>
    <w:lvl w:ilvl="4">
      <w:start w:val="0"/>
      <w:numFmt w:val="bullet"/>
      <w:lvlText w:val="•"/>
      <w:lvlJc w:val="left"/>
      <w:pPr>
        <w:ind w:left="3728" w:hanging="423"/>
      </w:pPr>
      <w:rPr>
        <w:rFonts w:hint="default"/>
        <w:lang w:val="da-DY" w:eastAsia="da-DY" w:bidi="da-DY"/>
      </w:rPr>
    </w:lvl>
    <w:lvl w:ilvl="5">
      <w:start w:val="0"/>
      <w:numFmt w:val="bullet"/>
      <w:lvlText w:val="•"/>
      <w:lvlJc w:val="left"/>
      <w:pPr>
        <w:ind w:left="4771" w:hanging="423"/>
      </w:pPr>
      <w:rPr>
        <w:rFonts w:hint="default"/>
        <w:lang w:val="da-DY" w:eastAsia="da-DY" w:bidi="da-DY"/>
      </w:rPr>
    </w:lvl>
    <w:lvl w:ilvl="6">
      <w:start w:val="0"/>
      <w:numFmt w:val="bullet"/>
      <w:lvlText w:val="•"/>
      <w:lvlJc w:val="left"/>
      <w:pPr>
        <w:ind w:left="5814" w:hanging="423"/>
      </w:pPr>
      <w:rPr>
        <w:rFonts w:hint="default"/>
        <w:lang w:val="da-DY" w:eastAsia="da-DY" w:bidi="da-DY"/>
      </w:rPr>
    </w:lvl>
    <w:lvl w:ilvl="7">
      <w:start w:val="0"/>
      <w:numFmt w:val="bullet"/>
      <w:lvlText w:val="•"/>
      <w:lvlJc w:val="left"/>
      <w:pPr>
        <w:ind w:left="6857" w:hanging="423"/>
      </w:pPr>
      <w:rPr>
        <w:rFonts w:hint="default"/>
        <w:lang w:val="da-DY" w:eastAsia="da-DY" w:bidi="da-DY"/>
      </w:rPr>
    </w:lvl>
    <w:lvl w:ilvl="8">
      <w:start w:val="0"/>
      <w:numFmt w:val="bullet"/>
      <w:lvlText w:val="•"/>
      <w:lvlJc w:val="left"/>
      <w:pPr>
        <w:ind w:left="7900" w:hanging="423"/>
      </w:pPr>
      <w:rPr>
        <w:rFonts w:hint="default"/>
        <w:lang w:val="da-DY" w:eastAsia="da-DY" w:bidi="da-DY"/>
      </w:rPr>
    </w:lvl>
  </w:abstractNum>
  <w:abstractNum w:abstractNumId="9">
    <w:multiLevelType w:val="hybridMultilevel"/>
    <w:lvl w:ilvl="0">
      <w:start w:val="15"/>
      <w:numFmt w:val="decimal"/>
      <w:lvlText w:val="%1."/>
      <w:lvlJc w:val="left"/>
      <w:pPr>
        <w:ind w:left="893" w:hanging="360"/>
        <w:jc w:val="left"/>
      </w:pPr>
      <w:rPr>
        <w:rFonts w:hint="default" w:ascii="Times New Roman" w:hAnsi="Times New Roman" w:eastAsia="Times New Roman" w:cs="Times New Roman"/>
        <w:spacing w:val="-5"/>
        <w:w w:val="100"/>
        <w:sz w:val="24"/>
        <w:szCs w:val="24"/>
        <w:lang w:val="da-DY" w:eastAsia="da-DY" w:bidi="da-DY"/>
      </w:rPr>
    </w:lvl>
    <w:lvl w:ilvl="1">
      <w:start w:val="1"/>
      <w:numFmt w:val="decimal"/>
      <w:lvlText w:val="%2."/>
      <w:lvlJc w:val="left"/>
      <w:pPr>
        <w:ind w:left="1253" w:hanging="720"/>
        <w:jc w:val="left"/>
      </w:pPr>
      <w:rPr>
        <w:rFonts w:hint="default"/>
        <w:spacing w:val="-2"/>
        <w:w w:val="100"/>
        <w:lang w:val="da-DY" w:eastAsia="da-DY" w:bidi="da-DY"/>
      </w:rPr>
    </w:lvl>
    <w:lvl w:ilvl="2">
      <w:start w:val="0"/>
      <w:numFmt w:val="bullet"/>
      <w:lvlText w:val="•"/>
      <w:lvlJc w:val="left"/>
      <w:pPr>
        <w:ind w:left="2229" w:hanging="720"/>
      </w:pPr>
      <w:rPr>
        <w:rFonts w:hint="default"/>
        <w:lang w:val="da-DY" w:eastAsia="da-DY" w:bidi="da-DY"/>
      </w:rPr>
    </w:lvl>
    <w:lvl w:ilvl="3">
      <w:start w:val="0"/>
      <w:numFmt w:val="bullet"/>
      <w:lvlText w:val="•"/>
      <w:lvlJc w:val="left"/>
      <w:pPr>
        <w:ind w:left="3199" w:hanging="720"/>
      </w:pPr>
      <w:rPr>
        <w:rFonts w:hint="default"/>
        <w:lang w:val="da-DY" w:eastAsia="da-DY" w:bidi="da-DY"/>
      </w:rPr>
    </w:lvl>
    <w:lvl w:ilvl="4">
      <w:start w:val="0"/>
      <w:numFmt w:val="bullet"/>
      <w:lvlText w:val="•"/>
      <w:lvlJc w:val="left"/>
      <w:pPr>
        <w:ind w:left="4168" w:hanging="720"/>
      </w:pPr>
      <w:rPr>
        <w:rFonts w:hint="default"/>
        <w:lang w:val="da-DY" w:eastAsia="da-DY" w:bidi="da-DY"/>
      </w:rPr>
    </w:lvl>
    <w:lvl w:ilvl="5">
      <w:start w:val="0"/>
      <w:numFmt w:val="bullet"/>
      <w:lvlText w:val="•"/>
      <w:lvlJc w:val="left"/>
      <w:pPr>
        <w:ind w:left="5138" w:hanging="720"/>
      </w:pPr>
      <w:rPr>
        <w:rFonts w:hint="default"/>
        <w:lang w:val="da-DY" w:eastAsia="da-DY" w:bidi="da-DY"/>
      </w:rPr>
    </w:lvl>
    <w:lvl w:ilvl="6">
      <w:start w:val="0"/>
      <w:numFmt w:val="bullet"/>
      <w:lvlText w:val="•"/>
      <w:lvlJc w:val="left"/>
      <w:pPr>
        <w:ind w:left="6108" w:hanging="720"/>
      </w:pPr>
      <w:rPr>
        <w:rFonts w:hint="default"/>
        <w:lang w:val="da-DY" w:eastAsia="da-DY" w:bidi="da-DY"/>
      </w:rPr>
    </w:lvl>
    <w:lvl w:ilvl="7">
      <w:start w:val="0"/>
      <w:numFmt w:val="bullet"/>
      <w:lvlText w:val="•"/>
      <w:lvlJc w:val="left"/>
      <w:pPr>
        <w:ind w:left="7077" w:hanging="720"/>
      </w:pPr>
      <w:rPr>
        <w:rFonts w:hint="default"/>
        <w:lang w:val="da-DY" w:eastAsia="da-DY" w:bidi="da-DY"/>
      </w:rPr>
    </w:lvl>
    <w:lvl w:ilvl="8">
      <w:start w:val="0"/>
      <w:numFmt w:val="bullet"/>
      <w:lvlText w:val="•"/>
      <w:lvlJc w:val="left"/>
      <w:pPr>
        <w:ind w:left="8047" w:hanging="720"/>
      </w:pPr>
      <w:rPr>
        <w:rFonts w:hint="default"/>
        <w:lang w:val="da-DY" w:eastAsia="da-DY" w:bidi="da-DY"/>
      </w:rPr>
    </w:lvl>
  </w:abstractNum>
  <w:abstractNum w:abstractNumId="8">
    <w:multiLevelType w:val="hybridMultilevel"/>
    <w:lvl w:ilvl="0">
      <w:start w:val="13"/>
      <w:numFmt w:val="decimal"/>
      <w:lvlText w:val="%1."/>
      <w:lvlJc w:val="left"/>
      <w:pPr>
        <w:ind w:left="532" w:hanging="360"/>
        <w:jc w:val="left"/>
      </w:pPr>
      <w:rPr>
        <w:rFonts w:hint="default"/>
        <w:spacing w:val="-1"/>
        <w:w w:val="100"/>
        <w:lang w:val="da-DY" w:eastAsia="da-DY" w:bidi="da-DY"/>
      </w:rPr>
    </w:lvl>
    <w:lvl w:ilvl="1">
      <w:start w:val="0"/>
      <w:numFmt w:val="bullet"/>
      <w:lvlText w:val="•"/>
      <w:lvlJc w:val="left"/>
      <w:pPr>
        <w:ind w:left="1484" w:hanging="360"/>
      </w:pPr>
      <w:rPr>
        <w:rFonts w:hint="default"/>
        <w:lang w:val="da-DY" w:eastAsia="da-DY" w:bidi="da-DY"/>
      </w:rPr>
    </w:lvl>
    <w:lvl w:ilvl="2">
      <w:start w:val="0"/>
      <w:numFmt w:val="bullet"/>
      <w:lvlText w:val="•"/>
      <w:lvlJc w:val="left"/>
      <w:pPr>
        <w:ind w:left="2429" w:hanging="360"/>
      </w:pPr>
      <w:rPr>
        <w:rFonts w:hint="default"/>
        <w:lang w:val="da-DY" w:eastAsia="da-DY" w:bidi="da-DY"/>
      </w:rPr>
    </w:lvl>
    <w:lvl w:ilvl="3">
      <w:start w:val="0"/>
      <w:numFmt w:val="bullet"/>
      <w:lvlText w:val="•"/>
      <w:lvlJc w:val="left"/>
      <w:pPr>
        <w:ind w:left="3373" w:hanging="360"/>
      </w:pPr>
      <w:rPr>
        <w:rFonts w:hint="default"/>
        <w:lang w:val="da-DY" w:eastAsia="da-DY" w:bidi="da-DY"/>
      </w:rPr>
    </w:lvl>
    <w:lvl w:ilvl="4">
      <w:start w:val="0"/>
      <w:numFmt w:val="bullet"/>
      <w:lvlText w:val="•"/>
      <w:lvlJc w:val="left"/>
      <w:pPr>
        <w:ind w:left="4318" w:hanging="360"/>
      </w:pPr>
      <w:rPr>
        <w:rFonts w:hint="default"/>
        <w:lang w:val="da-DY" w:eastAsia="da-DY" w:bidi="da-DY"/>
      </w:rPr>
    </w:lvl>
    <w:lvl w:ilvl="5">
      <w:start w:val="0"/>
      <w:numFmt w:val="bullet"/>
      <w:lvlText w:val="•"/>
      <w:lvlJc w:val="left"/>
      <w:pPr>
        <w:ind w:left="5263" w:hanging="360"/>
      </w:pPr>
      <w:rPr>
        <w:rFonts w:hint="default"/>
        <w:lang w:val="da-DY" w:eastAsia="da-DY" w:bidi="da-DY"/>
      </w:rPr>
    </w:lvl>
    <w:lvl w:ilvl="6">
      <w:start w:val="0"/>
      <w:numFmt w:val="bullet"/>
      <w:lvlText w:val="•"/>
      <w:lvlJc w:val="left"/>
      <w:pPr>
        <w:ind w:left="6207" w:hanging="360"/>
      </w:pPr>
      <w:rPr>
        <w:rFonts w:hint="default"/>
        <w:lang w:val="da-DY" w:eastAsia="da-DY" w:bidi="da-DY"/>
      </w:rPr>
    </w:lvl>
    <w:lvl w:ilvl="7">
      <w:start w:val="0"/>
      <w:numFmt w:val="bullet"/>
      <w:lvlText w:val="•"/>
      <w:lvlJc w:val="left"/>
      <w:pPr>
        <w:ind w:left="7152" w:hanging="360"/>
      </w:pPr>
      <w:rPr>
        <w:rFonts w:hint="default"/>
        <w:lang w:val="da-DY" w:eastAsia="da-DY" w:bidi="da-DY"/>
      </w:rPr>
    </w:lvl>
    <w:lvl w:ilvl="8">
      <w:start w:val="0"/>
      <w:numFmt w:val="bullet"/>
      <w:lvlText w:val="•"/>
      <w:lvlJc w:val="left"/>
      <w:pPr>
        <w:ind w:left="8097" w:hanging="360"/>
      </w:pPr>
      <w:rPr>
        <w:rFonts w:hint="default"/>
        <w:lang w:val="da-DY" w:eastAsia="da-DY" w:bidi="da-DY"/>
      </w:rPr>
    </w:lvl>
  </w:abstractNum>
  <w:abstractNum w:abstractNumId="7">
    <w:multiLevelType w:val="hybridMultilevel"/>
    <w:lvl w:ilvl="0">
      <w:start w:val="13"/>
      <w:numFmt w:val="decimal"/>
      <w:lvlText w:val="%1."/>
      <w:lvlJc w:val="left"/>
      <w:pPr>
        <w:ind w:left="532" w:hanging="360"/>
        <w:jc w:val="left"/>
      </w:pPr>
      <w:rPr>
        <w:rFonts w:hint="default" w:ascii="Times New Roman" w:hAnsi="Times New Roman" w:eastAsia="Times New Roman" w:cs="Times New Roman"/>
        <w:spacing w:val="-2"/>
        <w:w w:val="100"/>
        <w:sz w:val="24"/>
        <w:szCs w:val="24"/>
        <w:lang w:val="da-DY" w:eastAsia="da-DY" w:bidi="da-DY"/>
      </w:rPr>
    </w:lvl>
    <w:lvl w:ilvl="1">
      <w:start w:val="0"/>
      <w:numFmt w:val="bullet"/>
      <w:lvlText w:val="•"/>
      <w:lvlJc w:val="left"/>
      <w:pPr>
        <w:ind w:left="979" w:hanging="87"/>
      </w:pPr>
      <w:rPr>
        <w:rFonts w:hint="default" w:ascii="Times New Roman" w:hAnsi="Times New Roman" w:eastAsia="Times New Roman" w:cs="Times New Roman"/>
        <w:spacing w:val="2"/>
        <w:w w:val="100"/>
        <w:sz w:val="22"/>
        <w:szCs w:val="22"/>
        <w:lang w:val="da-DY" w:eastAsia="da-DY" w:bidi="da-DY"/>
      </w:rPr>
    </w:lvl>
    <w:lvl w:ilvl="2">
      <w:start w:val="0"/>
      <w:numFmt w:val="bullet"/>
      <w:lvlText w:val="•"/>
      <w:lvlJc w:val="left"/>
      <w:pPr>
        <w:ind w:left="1980" w:hanging="87"/>
      </w:pPr>
      <w:rPr>
        <w:rFonts w:hint="default"/>
        <w:lang w:val="da-DY" w:eastAsia="da-DY" w:bidi="da-DY"/>
      </w:rPr>
    </w:lvl>
    <w:lvl w:ilvl="3">
      <w:start w:val="0"/>
      <w:numFmt w:val="bullet"/>
      <w:lvlText w:val="•"/>
      <w:lvlJc w:val="left"/>
      <w:pPr>
        <w:ind w:left="2981" w:hanging="87"/>
      </w:pPr>
      <w:rPr>
        <w:rFonts w:hint="default"/>
        <w:lang w:val="da-DY" w:eastAsia="da-DY" w:bidi="da-DY"/>
      </w:rPr>
    </w:lvl>
    <w:lvl w:ilvl="4">
      <w:start w:val="0"/>
      <w:numFmt w:val="bullet"/>
      <w:lvlText w:val="•"/>
      <w:lvlJc w:val="left"/>
      <w:pPr>
        <w:ind w:left="3982" w:hanging="87"/>
      </w:pPr>
      <w:rPr>
        <w:rFonts w:hint="default"/>
        <w:lang w:val="da-DY" w:eastAsia="da-DY" w:bidi="da-DY"/>
      </w:rPr>
    </w:lvl>
    <w:lvl w:ilvl="5">
      <w:start w:val="0"/>
      <w:numFmt w:val="bullet"/>
      <w:lvlText w:val="•"/>
      <w:lvlJc w:val="left"/>
      <w:pPr>
        <w:ind w:left="4982" w:hanging="87"/>
      </w:pPr>
      <w:rPr>
        <w:rFonts w:hint="default"/>
        <w:lang w:val="da-DY" w:eastAsia="da-DY" w:bidi="da-DY"/>
      </w:rPr>
    </w:lvl>
    <w:lvl w:ilvl="6">
      <w:start w:val="0"/>
      <w:numFmt w:val="bullet"/>
      <w:lvlText w:val="•"/>
      <w:lvlJc w:val="left"/>
      <w:pPr>
        <w:ind w:left="5983" w:hanging="87"/>
      </w:pPr>
      <w:rPr>
        <w:rFonts w:hint="default"/>
        <w:lang w:val="da-DY" w:eastAsia="da-DY" w:bidi="da-DY"/>
      </w:rPr>
    </w:lvl>
    <w:lvl w:ilvl="7">
      <w:start w:val="0"/>
      <w:numFmt w:val="bullet"/>
      <w:lvlText w:val="•"/>
      <w:lvlJc w:val="left"/>
      <w:pPr>
        <w:ind w:left="6984" w:hanging="87"/>
      </w:pPr>
      <w:rPr>
        <w:rFonts w:hint="default"/>
        <w:lang w:val="da-DY" w:eastAsia="da-DY" w:bidi="da-DY"/>
      </w:rPr>
    </w:lvl>
    <w:lvl w:ilvl="8">
      <w:start w:val="0"/>
      <w:numFmt w:val="bullet"/>
      <w:lvlText w:val="•"/>
      <w:lvlJc w:val="left"/>
      <w:pPr>
        <w:ind w:left="7984" w:hanging="87"/>
      </w:pPr>
      <w:rPr>
        <w:rFonts w:hint="default"/>
        <w:lang w:val="da-DY" w:eastAsia="da-DY" w:bidi="da-DY"/>
      </w:rPr>
    </w:lvl>
  </w:abstractNum>
  <w:abstractNum w:abstractNumId="6">
    <w:multiLevelType w:val="hybridMultilevel"/>
    <w:lvl w:ilvl="0">
      <w:start w:val="8"/>
      <w:numFmt w:val="decimal"/>
      <w:lvlText w:val="%1"/>
      <w:lvlJc w:val="left"/>
      <w:pPr>
        <w:ind w:left="893" w:hanging="721"/>
        <w:jc w:val="left"/>
      </w:pPr>
      <w:rPr>
        <w:rFonts w:hint="default"/>
        <w:lang w:val="da-DY" w:eastAsia="da-DY" w:bidi="da-DY"/>
      </w:rPr>
    </w:lvl>
    <w:lvl w:ilvl="1">
      <w:start w:val="2"/>
      <w:numFmt w:val="decimal"/>
      <w:lvlText w:val="%1.%2"/>
      <w:lvlJc w:val="left"/>
      <w:pPr>
        <w:ind w:left="893" w:hanging="721"/>
        <w:jc w:val="left"/>
      </w:pPr>
      <w:rPr>
        <w:rFonts w:hint="default" w:ascii="Times New Roman" w:hAnsi="Times New Roman" w:eastAsia="Times New Roman" w:cs="Times New Roman"/>
        <w:spacing w:val="-8"/>
        <w:w w:val="100"/>
        <w:sz w:val="24"/>
        <w:szCs w:val="24"/>
        <w:lang w:val="da-DY" w:eastAsia="da-DY" w:bidi="da-DY"/>
      </w:rPr>
    </w:lvl>
    <w:lvl w:ilvl="2">
      <w:start w:val="0"/>
      <w:numFmt w:val="bullet"/>
      <w:lvlText w:val="•"/>
      <w:lvlJc w:val="left"/>
      <w:pPr>
        <w:ind w:left="2717" w:hanging="721"/>
      </w:pPr>
      <w:rPr>
        <w:rFonts w:hint="default"/>
        <w:lang w:val="da-DY" w:eastAsia="da-DY" w:bidi="da-DY"/>
      </w:rPr>
    </w:lvl>
    <w:lvl w:ilvl="3">
      <w:start w:val="0"/>
      <w:numFmt w:val="bullet"/>
      <w:lvlText w:val="•"/>
      <w:lvlJc w:val="left"/>
      <w:pPr>
        <w:ind w:left="3625" w:hanging="721"/>
      </w:pPr>
      <w:rPr>
        <w:rFonts w:hint="default"/>
        <w:lang w:val="da-DY" w:eastAsia="da-DY" w:bidi="da-DY"/>
      </w:rPr>
    </w:lvl>
    <w:lvl w:ilvl="4">
      <w:start w:val="0"/>
      <w:numFmt w:val="bullet"/>
      <w:lvlText w:val="•"/>
      <w:lvlJc w:val="left"/>
      <w:pPr>
        <w:ind w:left="4534" w:hanging="721"/>
      </w:pPr>
      <w:rPr>
        <w:rFonts w:hint="default"/>
        <w:lang w:val="da-DY" w:eastAsia="da-DY" w:bidi="da-DY"/>
      </w:rPr>
    </w:lvl>
    <w:lvl w:ilvl="5">
      <w:start w:val="0"/>
      <w:numFmt w:val="bullet"/>
      <w:lvlText w:val="•"/>
      <w:lvlJc w:val="left"/>
      <w:pPr>
        <w:ind w:left="5443" w:hanging="721"/>
      </w:pPr>
      <w:rPr>
        <w:rFonts w:hint="default"/>
        <w:lang w:val="da-DY" w:eastAsia="da-DY" w:bidi="da-DY"/>
      </w:rPr>
    </w:lvl>
    <w:lvl w:ilvl="6">
      <w:start w:val="0"/>
      <w:numFmt w:val="bullet"/>
      <w:lvlText w:val="•"/>
      <w:lvlJc w:val="left"/>
      <w:pPr>
        <w:ind w:left="6351" w:hanging="721"/>
      </w:pPr>
      <w:rPr>
        <w:rFonts w:hint="default"/>
        <w:lang w:val="da-DY" w:eastAsia="da-DY" w:bidi="da-DY"/>
      </w:rPr>
    </w:lvl>
    <w:lvl w:ilvl="7">
      <w:start w:val="0"/>
      <w:numFmt w:val="bullet"/>
      <w:lvlText w:val="•"/>
      <w:lvlJc w:val="left"/>
      <w:pPr>
        <w:ind w:left="7260" w:hanging="721"/>
      </w:pPr>
      <w:rPr>
        <w:rFonts w:hint="default"/>
        <w:lang w:val="da-DY" w:eastAsia="da-DY" w:bidi="da-DY"/>
      </w:rPr>
    </w:lvl>
    <w:lvl w:ilvl="8">
      <w:start w:val="0"/>
      <w:numFmt w:val="bullet"/>
      <w:lvlText w:val="•"/>
      <w:lvlJc w:val="left"/>
      <w:pPr>
        <w:ind w:left="8169" w:hanging="721"/>
      </w:pPr>
      <w:rPr>
        <w:rFonts w:hint="default"/>
        <w:lang w:val="da-DY" w:eastAsia="da-DY" w:bidi="da-DY"/>
      </w:rPr>
    </w:lvl>
  </w:abstractNum>
  <w:abstractNum w:abstractNumId="5">
    <w:multiLevelType w:val="hybridMultilevel"/>
    <w:lvl w:ilvl="0">
      <w:start w:val="7"/>
      <w:numFmt w:val="decimal"/>
      <w:lvlText w:val="%1"/>
      <w:lvlJc w:val="left"/>
      <w:pPr>
        <w:ind w:left="893" w:hanging="721"/>
        <w:jc w:val="left"/>
      </w:pPr>
      <w:rPr>
        <w:rFonts w:hint="default"/>
        <w:lang w:val="da-DY" w:eastAsia="da-DY" w:bidi="da-DY"/>
      </w:rPr>
    </w:lvl>
    <w:lvl w:ilvl="1">
      <w:start w:val="1"/>
      <w:numFmt w:val="decimal"/>
      <w:lvlText w:val="%1.%2"/>
      <w:lvlJc w:val="left"/>
      <w:pPr>
        <w:ind w:left="893" w:hanging="721"/>
        <w:jc w:val="left"/>
      </w:pPr>
      <w:rPr>
        <w:rFonts w:hint="default" w:ascii="Times New Roman" w:hAnsi="Times New Roman" w:eastAsia="Times New Roman" w:cs="Times New Roman"/>
        <w:spacing w:val="-2"/>
        <w:w w:val="100"/>
        <w:sz w:val="24"/>
        <w:szCs w:val="24"/>
        <w:lang w:val="da-DY" w:eastAsia="da-DY" w:bidi="da-DY"/>
      </w:rPr>
    </w:lvl>
    <w:lvl w:ilvl="2">
      <w:start w:val="0"/>
      <w:numFmt w:val="bullet"/>
      <w:lvlText w:val="•"/>
      <w:lvlJc w:val="left"/>
      <w:pPr>
        <w:ind w:left="2717" w:hanging="721"/>
      </w:pPr>
      <w:rPr>
        <w:rFonts w:hint="default"/>
        <w:lang w:val="da-DY" w:eastAsia="da-DY" w:bidi="da-DY"/>
      </w:rPr>
    </w:lvl>
    <w:lvl w:ilvl="3">
      <w:start w:val="0"/>
      <w:numFmt w:val="bullet"/>
      <w:lvlText w:val="•"/>
      <w:lvlJc w:val="left"/>
      <w:pPr>
        <w:ind w:left="3625" w:hanging="721"/>
      </w:pPr>
      <w:rPr>
        <w:rFonts w:hint="default"/>
        <w:lang w:val="da-DY" w:eastAsia="da-DY" w:bidi="da-DY"/>
      </w:rPr>
    </w:lvl>
    <w:lvl w:ilvl="4">
      <w:start w:val="0"/>
      <w:numFmt w:val="bullet"/>
      <w:lvlText w:val="•"/>
      <w:lvlJc w:val="left"/>
      <w:pPr>
        <w:ind w:left="4534" w:hanging="721"/>
      </w:pPr>
      <w:rPr>
        <w:rFonts w:hint="default"/>
        <w:lang w:val="da-DY" w:eastAsia="da-DY" w:bidi="da-DY"/>
      </w:rPr>
    </w:lvl>
    <w:lvl w:ilvl="5">
      <w:start w:val="0"/>
      <w:numFmt w:val="bullet"/>
      <w:lvlText w:val="•"/>
      <w:lvlJc w:val="left"/>
      <w:pPr>
        <w:ind w:left="5443" w:hanging="721"/>
      </w:pPr>
      <w:rPr>
        <w:rFonts w:hint="default"/>
        <w:lang w:val="da-DY" w:eastAsia="da-DY" w:bidi="da-DY"/>
      </w:rPr>
    </w:lvl>
    <w:lvl w:ilvl="6">
      <w:start w:val="0"/>
      <w:numFmt w:val="bullet"/>
      <w:lvlText w:val="•"/>
      <w:lvlJc w:val="left"/>
      <w:pPr>
        <w:ind w:left="6351" w:hanging="721"/>
      </w:pPr>
      <w:rPr>
        <w:rFonts w:hint="default"/>
        <w:lang w:val="da-DY" w:eastAsia="da-DY" w:bidi="da-DY"/>
      </w:rPr>
    </w:lvl>
    <w:lvl w:ilvl="7">
      <w:start w:val="0"/>
      <w:numFmt w:val="bullet"/>
      <w:lvlText w:val="•"/>
      <w:lvlJc w:val="left"/>
      <w:pPr>
        <w:ind w:left="7260" w:hanging="721"/>
      </w:pPr>
      <w:rPr>
        <w:rFonts w:hint="default"/>
        <w:lang w:val="da-DY" w:eastAsia="da-DY" w:bidi="da-DY"/>
      </w:rPr>
    </w:lvl>
    <w:lvl w:ilvl="8">
      <w:start w:val="0"/>
      <w:numFmt w:val="bullet"/>
      <w:lvlText w:val="•"/>
      <w:lvlJc w:val="left"/>
      <w:pPr>
        <w:ind w:left="8169" w:hanging="721"/>
      </w:pPr>
      <w:rPr>
        <w:rFonts w:hint="default"/>
        <w:lang w:val="da-DY" w:eastAsia="da-DY" w:bidi="da-DY"/>
      </w:rPr>
    </w:lvl>
  </w:abstractNum>
  <w:abstractNum w:abstractNumId="4">
    <w:multiLevelType w:val="hybridMultilevel"/>
    <w:lvl w:ilvl="0">
      <w:start w:val="1"/>
      <w:numFmt w:val="decimal"/>
      <w:lvlText w:val="%1."/>
      <w:lvlJc w:val="left"/>
      <w:pPr>
        <w:ind w:left="1166" w:hanging="240"/>
        <w:jc w:val="right"/>
      </w:pPr>
      <w:rPr>
        <w:rFonts w:hint="default"/>
        <w:spacing w:val="-5"/>
        <w:w w:val="100"/>
        <w:lang w:val="da-DY" w:eastAsia="da-DY" w:bidi="da-DY"/>
      </w:rPr>
    </w:lvl>
    <w:lvl w:ilvl="1">
      <w:start w:val="1"/>
      <w:numFmt w:val="decimal"/>
      <w:lvlText w:val="%1.%2."/>
      <w:lvlJc w:val="left"/>
      <w:pPr>
        <w:ind w:left="893" w:hanging="721"/>
        <w:jc w:val="left"/>
      </w:pPr>
      <w:rPr>
        <w:rFonts w:hint="default" w:ascii="Times New Roman" w:hAnsi="Times New Roman" w:eastAsia="Times New Roman" w:cs="Times New Roman"/>
        <w:spacing w:val="-3"/>
        <w:w w:val="100"/>
        <w:sz w:val="24"/>
        <w:szCs w:val="24"/>
        <w:lang w:val="da-DY" w:eastAsia="da-DY" w:bidi="da-DY"/>
      </w:rPr>
    </w:lvl>
    <w:lvl w:ilvl="2">
      <w:start w:val="0"/>
      <w:numFmt w:val="bullet"/>
      <w:lvlText w:val="•"/>
      <w:lvlJc w:val="left"/>
      <w:pPr>
        <w:ind w:left="2140" w:hanging="721"/>
      </w:pPr>
      <w:rPr>
        <w:rFonts w:hint="default"/>
        <w:lang w:val="da-DY" w:eastAsia="da-DY" w:bidi="da-DY"/>
      </w:rPr>
    </w:lvl>
    <w:lvl w:ilvl="3">
      <w:start w:val="0"/>
      <w:numFmt w:val="bullet"/>
      <w:lvlText w:val="•"/>
      <w:lvlJc w:val="left"/>
      <w:pPr>
        <w:ind w:left="3121" w:hanging="721"/>
      </w:pPr>
      <w:rPr>
        <w:rFonts w:hint="default"/>
        <w:lang w:val="da-DY" w:eastAsia="da-DY" w:bidi="da-DY"/>
      </w:rPr>
    </w:lvl>
    <w:lvl w:ilvl="4">
      <w:start w:val="0"/>
      <w:numFmt w:val="bullet"/>
      <w:lvlText w:val="•"/>
      <w:lvlJc w:val="left"/>
      <w:pPr>
        <w:ind w:left="4102" w:hanging="721"/>
      </w:pPr>
      <w:rPr>
        <w:rFonts w:hint="default"/>
        <w:lang w:val="da-DY" w:eastAsia="da-DY" w:bidi="da-DY"/>
      </w:rPr>
    </w:lvl>
    <w:lvl w:ilvl="5">
      <w:start w:val="0"/>
      <w:numFmt w:val="bullet"/>
      <w:lvlText w:val="•"/>
      <w:lvlJc w:val="left"/>
      <w:pPr>
        <w:ind w:left="5082" w:hanging="721"/>
      </w:pPr>
      <w:rPr>
        <w:rFonts w:hint="default"/>
        <w:lang w:val="da-DY" w:eastAsia="da-DY" w:bidi="da-DY"/>
      </w:rPr>
    </w:lvl>
    <w:lvl w:ilvl="6">
      <w:start w:val="0"/>
      <w:numFmt w:val="bullet"/>
      <w:lvlText w:val="•"/>
      <w:lvlJc w:val="left"/>
      <w:pPr>
        <w:ind w:left="6063" w:hanging="721"/>
      </w:pPr>
      <w:rPr>
        <w:rFonts w:hint="default"/>
        <w:lang w:val="da-DY" w:eastAsia="da-DY" w:bidi="da-DY"/>
      </w:rPr>
    </w:lvl>
    <w:lvl w:ilvl="7">
      <w:start w:val="0"/>
      <w:numFmt w:val="bullet"/>
      <w:lvlText w:val="•"/>
      <w:lvlJc w:val="left"/>
      <w:pPr>
        <w:ind w:left="7044" w:hanging="721"/>
      </w:pPr>
      <w:rPr>
        <w:rFonts w:hint="default"/>
        <w:lang w:val="da-DY" w:eastAsia="da-DY" w:bidi="da-DY"/>
      </w:rPr>
    </w:lvl>
    <w:lvl w:ilvl="8">
      <w:start w:val="0"/>
      <w:numFmt w:val="bullet"/>
      <w:lvlText w:val="•"/>
      <w:lvlJc w:val="left"/>
      <w:pPr>
        <w:ind w:left="8024" w:hanging="721"/>
      </w:pPr>
      <w:rPr>
        <w:rFonts w:hint="default"/>
        <w:lang w:val="da-DY" w:eastAsia="da-DY" w:bidi="da-DY"/>
      </w:rPr>
    </w:lvl>
  </w:abstractNum>
  <w:abstractNum w:abstractNumId="3">
    <w:multiLevelType w:val="hybridMultilevel"/>
    <w:lvl w:ilvl="0">
      <w:start w:val="4"/>
      <w:numFmt w:val="decimal"/>
      <w:lvlText w:val="%1"/>
      <w:lvlJc w:val="left"/>
      <w:pPr>
        <w:ind w:left="878" w:hanging="707"/>
        <w:jc w:val="left"/>
      </w:pPr>
      <w:rPr>
        <w:rFonts w:hint="default"/>
        <w:lang w:val="da-DY" w:eastAsia="da-DY" w:bidi="da-DY"/>
      </w:rPr>
    </w:lvl>
    <w:lvl w:ilvl="1">
      <w:start w:val="1"/>
      <w:numFmt w:val="decimal"/>
      <w:lvlText w:val="%1.%2"/>
      <w:lvlJc w:val="left"/>
      <w:pPr>
        <w:ind w:left="878" w:hanging="707"/>
        <w:jc w:val="left"/>
      </w:pPr>
      <w:rPr>
        <w:rFonts w:hint="default" w:ascii="Times New Roman" w:hAnsi="Times New Roman" w:eastAsia="Times New Roman" w:cs="Times New Roman"/>
        <w:spacing w:val="-6"/>
        <w:w w:val="100"/>
        <w:sz w:val="24"/>
        <w:szCs w:val="24"/>
        <w:lang w:val="da-DY" w:eastAsia="da-DY" w:bidi="da-DY"/>
      </w:rPr>
    </w:lvl>
    <w:lvl w:ilvl="2">
      <w:start w:val="0"/>
      <w:numFmt w:val="bullet"/>
      <w:lvlText w:val="-"/>
      <w:lvlJc w:val="left"/>
      <w:pPr>
        <w:ind w:left="1306" w:hanging="360"/>
      </w:pPr>
      <w:rPr>
        <w:rFonts w:hint="default" w:ascii="Calibri" w:hAnsi="Calibri" w:eastAsia="Calibri" w:cs="Calibri"/>
        <w:spacing w:val="-4"/>
        <w:w w:val="100"/>
        <w:sz w:val="24"/>
        <w:szCs w:val="24"/>
        <w:lang w:val="da-DY" w:eastAsia="da-DY" w:bidi="da-DY"/>
      </w:rPr>
    </w:lvl>
    <w:lvl w:ilvl="3">
      <w:start w:val="0"/>
      <w:numFmt w:val="bullet"/>
      <w:lvlText w:val="•"/>
      <w:lvlJc w:val="left"/>
      <w:pPr>
        <w:ind w:left="3230" w:hanging="360"/>
      </w:pPr>
      <w:rPr>
        <w:rFonts w:hint="default"/>
        <w:lang w:val="da-DY" w:eastAsia="da-DY" w:bidi="da-DY"/>
      </w:rPr>
    </w:lvl>
    <w:lvl w:ilvl="4">
      <w:start w:val="0"/>
      <w:numFmt w:val="bullet"/>
      <w:lvlText w:val="•"/>
      <w:lvlJc w:val="left"/>
      <w:pPr>
        <w:ind w:left="4195" w:hanging="360"/>
      </w:pPr>
      <w:rPr>
        <w:rFonts w:hint="default"/>
        <w:lang w:val="da-DY" w:eastAsia="da-DY" w:bidi="da-DY"/>
      </w:rPr>
    </w:lvl>
    <w:lvl w:ilvl="5">
      <w:start w:val="0"/>
      <w:numFmt w:val="bullet"/>
      <w:lvlText w:val="•"/>
      <w:lvlJc w:val="left"/>
      <w:pPr>
        <w:ind w:left="5160" w:hanging="360"/>
      </w:pPr>
      <w:rPr>
        <w:rFonts w:hint="default"/>
        <w:lang w:val="da-DY" w:eastAsia="da-DY" w:bidi="da-DY"/>
      </w:rPr>
    </w:lvl>
    <w:lvl w:ilvl="6">
      <w:start w:val="0"/>
      <w:numFmt w:val="bullet"/>
      <w:lvlText w:val="•"/>
      <w:lvlJc w:val="left"/>
      <w:pPr>
        <w:ind w:left="6125" w:hanging="360"/>
      </w:pPr>
      <w:rPr>
        <w:rFonts w:hint="default"/>
        <w:lang w:val="da-DY" w:eastAsia="da-DY" w:bidi="da-DY"/>
      </w:rPr>
    </w:lvl>
    <w:lvl w:ilvl="7">
      <w:start w:val="0"/>
      <w:numFmt w:val="bullet"/>
      <w:lvlText w:val="•"/>
      <w:lvlJc w:val="left"/>
      <w:pPr>
        <w:ind w:left="7090" w:hanging="360"/>
      </w:pPr>
      <w:rPr>
        <w:rFonts w:hint="default"/>
        <w:lang w:val="da-DY" w:eastAsia="da-DY" w:bidi="da-DY"/>
      </w:rPr>
    </w:lvl>
    <w:lvl w:ilvl="8">
      <w:start w:val="0"/>
      <w:numFmt w:val="bullet"/>
      <w:lvlText w:val="•"/>
      <w:lvlJc w:val="left"/>
      <w:pPr>
        <w:ind w:left="8056" w:hanging="360"/>
      </w:pPr>
      <w:rPr>
        <w:rFonts w:hint="default"/>
        <w:lang w:val="da-DY" w:eastAsia="da-DY" w:bidi="da-DY"/>
      </w:rPr>
    </w:lvl>
  </w:abstractNum>
  <w:abstractNum w:abstractNumId="2">
    <w:multiLevelType w:val="hybridMultilevel"/>
    <w:lvl w:ilvl="0">
      <w:start w:val="3"/>
      <w:numFmt w:val="decimal"/>
      <w:lvlText w:val="%1"/>
      <w:lvlJc w:val="left"/>
      <w:pPr>
        <w:ind w:left="893" w:hanging="721"/>
        <w:jc w:val="left"/>
      </w:pPr>
      <w:rPr>
        <w:rFonts w:hint="default"/>
        <w:lang w:val="da-DY" w:eastAsia="da-DY" w:bidi="da-DY"/>
      </w:rPr>
    </w:lvl>
    <w:lvl w:ilvl="1">
      <w:start w:val="1"/>
      <w:numFmt w:val="decimal"/>
      <w:lvlText w:val="%1.%2"/>
      <w:lvlJc w:val="left"/>
      <w:pPr>
        <w:ind w:left="893" w:hanging="721"/>
        <w:jc w:val="left"/>
      </w:pPr>
      <w:rPr>
        <w:rFonts w:hint="default" w:ascii="Times New Roman" w:hAnsi="Times New Roman" w:eastAsia="Times New Roman" w:cs="Times New Roman"/>
        <w:spacing w:val="-3"/>
        <w:w w:val="100"/>
        <w:sz w:val="24"/>
        <w:szCs w:val="24"/>
        <w:lang w:val="da-DY" w:eastAsia="da-DY" w:bidi="da-DY"/>
      </w:rPr>
    </w:lvl>
    <w:lvl w:ilvl="2">
      <w:start w:val="0"/>
      <w:numFmt w:val="bullet"/>
      <w:lvlText w:val="•"/>
      <w:lvlJc w:val="left"/>
      <w:pPr>
        <w:ind w:left="2717" w:hanging="721"/>
      </w:pPr>
      <w:rPr>
        <w:rFonts w:hint="default"/>
        <w:lang w:val="da-DY" w:eastAsia="da-DY" w:bidi="da-DY"/>
      </w:rPr>
    </w:lvl>
    <w:lvl w:ilvl="3">
      <w:start w:val="0"/>
      <w:numFmt w:val="bullet"/>
      <w:lvlText w:val="•"/>
      <w:lvlJc w:val="left"/>
      <w:pPr>
        <w:ind w:left="3625" w:hanging="721"/>
      </w:pPr>
      <w:rPr>
        <w:rFonts w:hint="default"/>
        <w:lang w:val="da-DY" w:eastAsia="da-DY" w:bidi="da-DY"/>
      </w:rPr>
    </w:lvl>
    <w:lvl w:ilvl="4">
      <w:start w:val="0"/>
      <w:numFmt w:val="bullet"/>
      <w:lvlText w:val="•"/>
      <w:lvlJc w:val="left"/>
      <w:pPr>
        <w:ind w:left="4534" w:hanging="721"/>
      </w:pPr>
      <w:rPr>
        <w:rFonts w:hint="default"/>
        <w:lang w:val="da-DY" w:eastAsia="da-DY" w:bidi="da-DY"/>
      </w:rPr>
    </w:lvl>
    <w:lvl w:ilvl="5">
      <w:start w:val="0"/>
      <w:numFmt w:val="bullet"/>
      <w:lvlText w:val="•"/>
      <w:lvlJc w:val="left"/>
      <w:pPr>
        <w:ind w:left="5443" w:hanging="721"/>
      </w:pPr>
      <w:rPr>
        <w:rFonts w:hint="default"/>
        <w:lang w:val="da-DY" w:eastAsia="da-DY" w:bidi="da-DY"/>
      </w:rPr>
    </w:lvl>
    <w:lvl w:ilvl="6">
      <w:start w:val="0"/>
      <w:numFmt w:val="bullet"/>
      <w:lvlText w:val="•"/>
      <w:lvlJc w:val="left"/>
      <w:pPr>
        <w:ind w:left="6351" w:hanging="721"/>
      </w:pPr>
      <w:rPr>
        <w:rFonts w:hint="default"/>
        <w:lang w:val="da-DY" w:eastAsia="da-DY" w:bidi="da-DY"/>
      </w:rPr>
    </w:lvl>
    <w:lvl w:ilvl="7">
      <w:start w:val="0"/>
      <w:numFmt w:val="bullet"/>
      <w:lvlText w:val="•"/>
      <w:lvlJc w:val="left"/>
      <w:pPr>
        <w:ind w:left="7260" w:hanging="721"/>
      </w:pPr>
      <w:rPr>
        <w:rFonts w:hint="default"/>
        <w:lang w:val="da-DY" w:eastAsia="da-DY" w:bidi="da-DY"/>
      </w:rPr>
    </w:lvl>
    <w:lvl w:ilvl="8">
      <w:start w:val="0"/>
      <w:numFmt w:val="bullet"/>
      <w:lvlText w:val="•"/>
      <w:lvlJc w:val="left"/>
      <w:pPr>
        <w:ind w:left="8169" w:hanging="721"/>
      </w:pPr>
      <w:rPr>
        <w:rFonts w:hint="default"/>
        <w:lang w:val="da-DY" w:eastAsia="da-DY" w:bidi="da-DY"/>
      </w:rPr>
    </w:lvl>
  </w:abstractNum>
  <w:abstractNum w:abstractNumId="1">
    <w:multiLevelType w:val="hybridMultilevel"/>
    <w:lvl w:ilvl="0">
      <w:start w:val="2"/>
      <w:numFmt w:val="decimal"/>
      <w:lvlText w:val="%1"/>
      <w:lvlJc w:val="left"/>
      <w:pPr>
        <w:ind w:left="893" w:hanging="721"/>
        <w:jc w:val="left"/>
      </w:pPr>
      <w:rPr>
        <w:rFonts w:hint="default"/>
        <w:lang w:val="da-DY" w:eastAsia="da-DY" w:bidi="da-DY"/>
      </w:rPr>
    </w:lvl>
    <w:lvl w:ilvl="1">
      <w:start w:val="1"/>
      <w:numFmt w:val="decimal"/>
      <w:lvlText w:val="%1.%2"/>
      <w:lvlJc w:val="left"/>
      <w:pPr>
        <w:ind w:left="893" w:hanging="721"/>
        <w:jc w:val="left"/>
      </w:pPr>
      <w:rPr>
        <w:rFonts w:hint="default" w:ascii="Times New Roman" w:hAnsi="Times New Roman" w:eastAsia="Times New Roman" w:cs="Times New Roman"/>
        <w:spacing w:val="-3"/>
        <w:w w:val="100"/>
        <w:sz w:val="24"/>
        <w:szCs w:val="24"/>
        <w:lang w:val="da-DY" w:eastAsia="da-DY" w:bidi="da-DY"/>
      </w:rPr>
    </w:lvl>
    <w:lvl w:ilvl="2">
      <w:start w:val="1"/>
      <w:numFmt w:val="decimal"/>
      <w:lvlText w:val="%1.%2.%3"/>
      <w:lvlJc w:val="left"/>
      <w:pPr>
        <w:ind w:left="893" w:hanging="721"/>
        <w:jc w:val="left"/>
      </w:pPr>
      <w:rPr>
        <w:rFonts w:hint="default" w:ascii="Times New Roman" w:hAnsi="Times New Roman" w:eastAsia="Times New Roman" w:cs="Times New Roman"/>
        <w:spacing w:val="-3"/>
        <w:w w:val="100"/>
        <w:sz w:val="24"/>
        <w:szCs w:val="24"/>
        <w:lang w:val="da-DY" w:eastAsia="da-DY" w:bidi="da-DY"/>
      </w:rPr>
    </w:lvl>
    <w:lvl w:ilvl="3">
      <w:start w:val="0"/>
      <w:numFmt w:val="bullet"/>
      <w:lvlText w:val="•"/>
      <w:lvlJc w:val="left"/>
      <w:pPr>
        <w:ind w:left="3625" w:hanging="721"/>
      </w:pPr>
      <w:rPr>
        <w:rFonts w:hint="default"/>
        <w:lang w:val="da-DY" w:eastAsia="da-DY" w:bidi="da-DY"/>
      </w:rPr>
    </w:lvl>
    <w:lvl w:ilvl="4">
      <w:start w:val="0"/>
      <w:numFmt w:val="bullet"/>
      <w:lvlText w:val="•"/>
      <w:lvlJc w:val="left"/>
      <w:pPr>
        <w:ind w:left="4534" w:hanging="721"/>
      </w:pPr>
      <w:rPr>
        <w:rFonts w:hint="default"/>
        <w:lang w:val="da-DY" w:eastAsia="da-DY" w:bidi="da-DY"/>
      </w:rPr>
    </w:lvl>
    <w:lvl w:ilvl="5">
      <w:start w:val="0"/>
      <w:numFmt w:val="bullet"/>
      <w:lvlText w:val="•"/>
      <w:lvlJc w:val="left"/>
      <w:pPr>
        <w:ind w:left="5443" w:hanging="721"/>
      </w:pPr>
      <w:rPr>
        <w:rFonts w:hint="default"/>
        <w:lang w:val="da-DY" w:eastAsia="da-DY" w:bidi="da-DY"/>
      </w:rPr>
    </w:lvl>
    <w:lvl w:ilvl="6">
      <w:start w:val="0"/>
      <w:numFmt w:val="bullet"/>
      <w:lvlText w:val="•"/>
      <w:lvlJc w:val="left"/>
      <w:pPr>
        <w:ind w:left="6351" w:hanging="721"/>
      </w:pPr>
      <w:rPr>
        <w:rFonts w:hint="default"/>
        <w:lang w:val="da-DY" w:eastAsia="da-DY" w:bidi="da-DY"/>
      </w:rPr>
    </w:lvl>
    <w:lvl w:ilvl="7">
      <w:start w:val="0"/>
      <w:numFmt w:val="bullet"/>
      <w:lvlText w:val="•"/>
      <w:lvlJc w:val="left"/>
      <w:pPr>
        <w:ind w:left="7260" w:hanging="721"/>
      </w:pPr>
      <w:rPr>
        <w:rFonts w:hint="default"/>
        <w:lang w:val="da-DY" w:eastAsia="da-DY" w:bidi="da-DY"/>
      </w:rPr>
    </w:lvl>
    <w:lvl w:ilvl="8">
      <w:start w:val="0"/>
      <w:numFmt w:val="bullet"/>
      <w:lvlText w:val="•"/>
      <w:lvlJc w:val="left"/>
      <w:pPr>
        <w:ind w:left="8169" w:hanging="721"/>
      </w:pPr>
      <w:rPr>
        <w:rFonts w:hint="default"/>
        <w:lang w:val="da-DY" w:eastAsia="da-DY" w:bidi="da-DY"/>
      </w:rPr>
    </w:lvl>
  </w:abstractNum>
  <w:abstractNum w:abstractNumId="0">
    <w:multiLevelType w:val="hybridMultilevel"/>
    <w:lvl w:ilvl="0">
      <w:start w:val="1"/>
      <w:numFmt w:val="decimal"/>
      <w:lvlText w:val="%1."/>
      <w:lvlJc w:val="left"/>
      <w:pPr>
        <w:ind w:left="893" w:hanging="721"/>
        <w:jc w:val="left"/>
      </w:pPr>
      <w:rPr>
        <w:rFonts w:hint="default" w:ascii="Times New Roman" w:hAnsi="Times New Roman" w:eastAsia="Times New Roman" w:cs="Times New Roman"/>
        <w:b/>
        <w:bCs/>
        <w:spacing w:val="-3"/>
        <w:w w:val="100"/>
        <w:sz w:val="24"/>
        <w:szCs w:val="24"/>
        <w:lang w:val="da-DY" w:eastAsia="da-DY" w:bidi="da-DY"/>
      </w:rPr>
    </w:lvl>
    <w:lvl w:ilvl="1">
      <w:start w:val="1"/>
      <w:numFmt w:val="decimal"/>
      <w:lvlText w:val="%1.%2."/>
      <w:lvlJc w:val="left"/>
      <w:pPr>
        <w:ind w:left="893" w:hanging="721"/>
        <w:jc w:val="left"/>
      </w:pPr>
      <w:rPr>
        <w:rFonts w:hint="default" w:ascii="Times New Roman" w:hAnsi="Times New Roman" w:eastAsia="Times New Roman" w:cs="Times New Roman"/>
        <w:spacing w:val="-3"/>
        <w:w w:val="100"/>
        <w:sz w:val="24"/>
        <w:szCs w:val="24"/>
        <w:lang w:val="da-DY" w:eastAsia="da-DY" w:bidi="da-DY"/>
      </w:rPr>
    </w:lvl>
    <w:lvl w:ilvl="2">
      <w:start w:val="0"/>
      <w:numFmt w:val="bullet"/>
      <w:lvlText w:val="•"/>
      <w:lvlJc w:val="left"/>
      <w:pPr>
        <w:ind w:left="2016" w:hanging="721"/>
      </w:pPr>
      <w:rPr>
        <w:rFonts w:hint="default"/>
        <w:lang w:val="da-DY" w:eastAsia="da-DY" w:bidi="da-DY"/>
      </w:rPr>
    </w:lvl>
    <w:lvl w:ilvl="3">
      <w:start w:val="0"/>
      <w:numFmt w:val="bullet"/>
      <w:lvlText w:val="•"/>
      <w:lvlJc w:val="left"/>
      <w:pPr>
        <w:ind w:left="3012" w:hanging="721"/>
      </w:pPr>
      <w:rPr>
        <w:rFonts w:hint="default"/>
        <w:lang w:val="da-DY" w:eastAsia="da-DY" w:bidi="da-DY"/>
      </w:rPr>
    </w:lvl>
    <w:lvl w:ilvl="4">
      <w:start w:val="0"/>
      <w:numFmt w:val="bullet"/>
      <w:lvlText w:val="•"/>
      <w:lvlJc w:val="left"/>
      <w:pPr>
        <w:ind w:left="4008" w:hanging="721"/>
      </w:pPr>
      <w:rPr>
        <w:rFonts w:hint="default"/>
        <w:lang w:val="da-DY" w:eastAsia="da-DY" w:bidi="da-DY"/>
      </w:rPr>
    </w:lvl>
    <w:lvl w:ilvl="5">
      <w:start w:val="0"/>
      <w:numFmt w:val="bullet"/>
      <w:lvlText w:val="•"/>
      <w:lvlJc w:val="left"/>
      <w:pPr>
        <w:ind w:left="5005" w:hanging="721"/>
      </w:pPr>
      <w:rPr>
        <w:rFonts w:hint="default"/>
        <w:lang w:val="da-DY" w:eastAsia="da-DY" w:bidi="da-DY"/>
      </w:rPr>
    </w:lvl>
    <w:lvl w:ilvl="6">
      <w:start w:val="0"/>
      <w:numFmt w:val="bullet"/>
      <w:lvlText w:val="•"/>
      <w:lvlJc w:val="left"/>
      <w:pPr>
        <w:ind w:left="6001" w:hanging="721"/>
      </w:pPr>
      <w:rPr>
        <w:rFonts w:hint="default"/>
        <w:lang w:val="da-DY" w:eastAsia="da-DY" w:bidi="da-DY"/>
      </w:rPr>
    </w:lvl>
    <w:lvl w:ilvl="7">
      <w:start w:val="0"/>
      <w:numFmt w:val="bullet"/>
      <w:lvlText w:val="•"/>
      <w:lvlJc w:val="left"/>
      <w:pPr>
        <w:ind w:left="6997" w:hanging="721"/>
      </w:pPr>
      <w:rPr>
        <w:rFonts w:hint="default"/>
        <w:lang w:val="da-DY" w:eastAsia="da-DY" w:bidi="da-DY"/>
      </w:rPr>
    </w:lvl>
    <w:lvl w:ilvl="8">
      <w:start w:val="0"/>
      <w:numFmt w:val="bullet"/>
      <w:lvlText w:val="•"/>
      <w:lvlJc w:val="left"/>
      <w:pPr>
        <w:ind w:left="7993" w:hanging="721"/>
      </w:pPr>
      <w:rPr>
        <w:rFonts w:hint="default"/>
        <w:lang w:val="da-DY" w:eastAsia="da-DY" w:bidi="da-DY"/>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a-DY" w:eastAsia="da-DY" w:bidi="da-DY"/>
    </w:rPr>
  </w:style>
  <w:style w:styleId="BodyText" w:type="paragraph">
    <w:name w:val="Body Text"/>
    <w:basedOn w:val="Normal"/>
    <w:uiPriority w:val="1"/>
    <w:qFormat/>
    <w:pPr/>
    <w:rPr>
      <w:rFonts w:ascii="Times New Roman" w:hAnsi="Times New Roman" w:eastAsia="Times New Roman" w:cs="Times New Roman"/>
      <w:sz w:val="24"/>
      <w:szCs w:val="24"/>
      <w:lang w:val="da-DY" w:eastAsia="da-DY" w:bidi="da-DY"/>
    </w:rPr>
  </w:style>
  <w:style w:styleId="Heading1" w:type="paragraph">
    <w:name w:val="Heading 1"/>
    <w:basedOn w:val="Normal"/>
    <w:uiPriority w:val="1"/>
    <w:qFormat/>
    <w:pPr>
      <w:spacing w:before="76"/>
      <w:ind w:left="172"/>
      <w:outlineLvl w:val="1"/>
    </w:pPr>
    <w:rPr>
      <w:rFonts w:ascii="Times New Roman" w:hAnsi="Times New Roman" w:eastAsia="Times New Roman" w:cs="Times New Roman"/>
      <w:b/>
      <w:bCs/>
      <w:sz w:val="28"/>
      <w:szCs w:val="28"/>
      <w:lang w:val="da-DY" w:eastAsia="da-DY" w:bidi="da-DY"/>
    </w:rPr>
  </w:style>
  <w:style w:styleId="Heading2" w:type="paragraph">
    <w:name w:val="Heading 2"/>
    <w:basedOn w:val="Normal"/>
    <w:uiPriority w:val="1"/>
    <w:qFormat/>
    <w:pPr>
      <w:ind w:left="893" w:hanging="721"/>
      <w:outlineLvl w:val="2"/>
    </w:pPr>
    <w:rPr>
      <w:rFonts w:ascii="Times New Roman" w:hAnsi="Times New Roman" w:eastAsia="Times New Roman" w:cs="Times New Roman"/>
      <w:b/>
      <w:bCs/>
      <w:sz w:val="24"/>
      <w:szCs w:val="24"/>
      <w:lang w:val="da-DY" w:eastAsia="da-DY" w:bidi="da-DY"/>
    </w:rPr>
  </w:style>
  <w:style w:styleId="ListParagraph" w:type="paragraph">
    <w:name w:val="List Paragraph"/>
    <w:basedOn w:val="Normal"/>
    <w:uiPriority w:val="1"/>
    <w:qFormat/>
    <w:pPr>
      <w:ind w:left="893" w:hanging="721"/>
    </w:pPr>
    <w:rPr>
      <w:rFonts w:ascii="Times New Roman" w:hAnsi="Times New Roman" w:eastAsia="Times New Roman" w:cs="Times New Roman"/>
      <w:lang w:val="da-DY" w:eastAsia="da-DY" w:bidi="da-DY"/>
    </w:rPr>
  </w:style>
  <w:style w:styleId="TableParagraph" w:type="paragraph">
    <w:name w:val="Table Paragraph"/>
    <w:basedOn w:val="Normal"/>
    <w:uiPriority w:val="1"/>
    <w:qFormat/>
    <w:pPr/>
    <w:rPr>
      <w:lang w:val="da-DY" w:eastAsia="da-DY" w:bidi="da-DY"/>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2019-06-21T08:39:46Z</dcterms:created>
  <dcterms:modified xsi:type="dcterms:W3CDTF">2019-06-21T08:39:46Z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LastSaved">
    <vt:filetime>2019-06-21T00:00:00Z</vt:filetime>
  </property>
</Properties>
</file>